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EE" w:rsidRDefault="00E158FE">
      <w:pPr>
        <w:rPr>
          <w:rFonts w:hint="eastAsia"/>
        </w:rPr>
      </w:pPr>
      <w:r>
        <w:rPr>
          <w:rFonts w:hint="eastAsia"/>
        </w:rPr>
        <w:t>杨万东简历</w:t>
      </w:r>
    </w:p>
    <w:p w:rsidR="00E158FE" w:rsidRDefault="00E158FE">
      <w:pPr>
        <w:rPr>
          <w:rFonts w:hint="eastAsia"/>
        </w:rPr>
      </w:pPr>
    </w:p>
    <w:p w:rsidR="00E158FE" w:rsidRDefault="00E158FE">
      <w:pPr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</w:rPr>
        <w:t xml:space="preserve">:   </w:t>
      </w:r>
      <w:r>
        <w:rPr>
          <w:rFonts w:hint="eastAsia"/>
        </w:rPr>
        <w:t>杨万东</w:t>
      </w:r>
    </w:p>
    <w:p w:rsidR="00E158FE" w:rsidRDefault="00E158FE">
      <w:pPr>
        <w:rPr>
          <w:rFonts w:hint="eastAsia"/>
        </w:rPr>
      </w:pPr>
      <w:r>
        <w:rPr>
          <w:rFonts w:hint="eastAsia"/>
        </w:rPr>
        <w:t>职称或学位</w:t>
      </w:r>
      <w:r>
        <w:rPr>
          <w:rFonts w:hint="eastAsia"/>
        </w:rPr>
        <w:t xml:space="preserve">:   </w:t>
      </w:r>
      <w:r>
        <w:rPr>
          <w:rFonts w:hint="eastAsia"/>
        </w:rPr>
        <w:t>编审，经济学博士</w:t>
      </w:r>
    </w:p>
    <w:p w:rsidR="00E158FE" w:rsidRDefault="00E158FE">
      <w:pPr>
        <w:rPr>
          <w:rFonts w:hint="eastAsia"/>
        </w:rPr>
      </w:pPr>
      <w:proofErr w:type="spellStart"/>
      <w:r>
        <w:rPr>
          <w:rFonts w:hint="eastAsia"/>
        </w:rPr>
        <w:t>E-mail:</w:t>
      </w:r>
      <w:r w:rsidR="00B77729">
        <w:rPr>
          <w:rFonts w:hint="eastAsia"/>
        </w:rPr>
        <w:t>wdyang@ruc.edu.cn</w:t>
      </w:r>
      <w:proofErr w:type="spellEnd"/>
    </w:p>
    <w:p w:rsidR="00B77729" w:rsidRDefault="00B77729">
      <w:pPr>
        <w:rPr>
          <w:rFonts w:hint="eastAsia"/>
        </w:rPr>
      </w:pPr>
      <w:r>
        <w:rPr>
          <w:rFonts w:hint="eastAsia"/>
        </w:rPr>
        <w:t>研究领域：宏观经济、产业与虚拟经济</w:t>
      </w:r>
    </w:p>
    <w:p w:rsidR="00B77729" w:rsidRDefault="00B77729">
      <w:pPr>
        <w:rPr>
          <w:rFonts w:hint="eastAsia"/>
        </w:rPr>
      </w:pPr>
    </w:p>
    <w:p w:rsidR="00B77729" w:rsidRDefault="00B77729">
      <w:pPr>
        <w:rPr>
          <w:rFonts w:hint="eastAsia"/>
        </w:rPr>
      </w:pPr>
      <w:r>
        <w:rPr>
          <w:rFonts w:hint="eastAsia"/>
        </w:rPr>
        <w:t>教育背景：</w:t>
      </w:r>
    </w:p>
    <w:p w:rsidR="00B77729" w:rsidRDefault="00B77729" w:rsidP="00B77729">
      <w:pPr>
        <w:ind w:firstLineChars="200" w:firstLine="420"/>
        <w:rPr>
          <w:rFonts w:hint="eastAsia"/>
        </w:rPr>
      </w:pPr>
      <w:r>
        <w:rPr>
          <w:rFonts w:hint="eastAsia"/>
        </w:rPr>
        <w:t>博士，经济学，中国人民大学，</w:t>
      </w:r>
      <w:r>
        <w:rPr>
          <w:rFonts w:hint="eastAsia"/>
        </w:rPr>
        <w:t>2006</w:t>
      </w:r>
    </w:p>
    <w:p w:rsidR="00B77729" w:rsidRDefault="00B77729" w:rsidP="00B77729">
      <w:pPr>
        <w:ind w:firstLineChars="200" w:firstLine="420"/>
        <w:rPr>
          <w:rFonts w:hint="eastAsia"/>
        </w:rPr>
      </w:pPr>
      <w:r>
        <w:rPr>
          <w:rFonts w:hint="eastAsia"/>
        </w:rPr>
        <w:t>硕士，经济学，四川大学，</w:t>
      </w:r>
      <w:r>
        <w:rPr>
          <w:rFonts w:hint="eastAsia"/>
        </w:rPr>
        <w:t>1987</w:t>
      </w:r>
    </w:p>
    <w:p w:rsidR="00B77729" w:rsidRDefault="00B77729" w:rsidP="00B77729">
      <w:pPr>
        <w:ind w:firstLineChars="200" w:firstLine="420"/>
        <w:rPr>
          <w:rFonts w:hint="eastAsia"/>
        </w:rPr>
      </w:pPr>
      <w:r>
        <w:rPr>
          <w:rFonts w:hint="eastAsia"/>
        </w:rPr>
        <w:t>学士，经济学，四川大学，</w:t>
      </w:r>
      <w:r>
        <w:rPr>
          <w:rFonts w:hint="eastAsia"/>
        </w:rPr>
        <w:t>1984</w:t>
      </w:r>
    </w:p>
    <w:p w:rsidR="00B77729" w:rsidRDefault="00B77729" w:rsidP="00B77729">
      <w:pPr>
        <w:rPr>
          <w:rFonts w:hint="eastAsia"/>
        </w:rPr>
      </w:pPr>
      <w:r>
        <w:rPr>
          <w:rFonts w:hint="eastAsia"/>
        </w:rPr>
        <w:t>工作经历与社会兼职</w:t>
      </w:r>
    </w:p>
    <w:p w:rsidR="00B77729" w:rsidRDefault="00B77729" w:rsidP="00B77729">
      <w:pPr>
        <w:ind w:firstLine="420"/>
        <w:rPr>
          <w:rFonts w:hint="eastAsia"/>
        </w:rPr>
      </w:pPr>
      <w:r>
        <w:rPr>
          <w:rFonts w:hint="eastAsia"/>
        </w:rPr>
        <w:t>1987</w:t>
      </w:r>
      <w:r>
        <w:rPr>
          <w:rFonts w:hint="eastAsia"/>
        </w:rPr>
        <w:t>——目前，中国人民大学《经济理论与经济管理》编辑部，</w:t>
      </w:r>
      <w:r>
        <w:rPr>
          <w:rFonts w:hint="eastAsia"/>
        </w:rPr>
        <w:t>1994</w:t>
      </w:r>
      <w:r>
        <w:rPr>
          <w:rFonts w:hint="eastAsia"/>
        </w:rPr>
        <w:t>年起任副主编；兼任中国商业经济学</w:t>
      </w:r>
      <w:proofErr w:type="gramStart"/>
      <w:r>
        <w:rPr>
          <w:rFonts w:hint="eastAsia"/>
        </w:rPr>
        <w:t>会商业</w:t>
      </w:r>
      <w:proofErr w:type="gramEnd"/>
      <w:r>
        <w:rPr>
          <w:rFonts w:hint="eastAsia"/>
        </w:rPr>
        <w:t>经济应用与管理研究分会副会长，中国宏观经济管理教育学会常务理事，浙江财经大学、安徽财经大学、河北金融学院兼职教授。</w:t>
      </w:r>
    </w:p>
    <w:p w:rsidR="00F7655A" w:rsidRDefault="00A770B9" w:rsidP="00A770B9">
      <w:pPr>
        <w:rPr>
          <w:rFonts w:hint="eastAsia"/>
        </w:rPr>
      </w:pPr>
      <w:r>
        <w:rPr>
          <w:rFonts w:hint="eastAsia"/>
        </w:rPr>
        <w:t>主要学术作品：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1．</w:t>
      </w:r>
      <w:r w:rsidRPr="002866DC">
        <w:rPr>
          <w:rFonts w:ascii="仿宋_GB2312" w:eastAsia="仿宋_GB2312" w:hAnsi="Calibri" w:cs="Times New Roman" w:hint="eastAsia"/>
          <w:sz w:val="24"/>
        </w:rPr>
        <w:t>《我国通货膨胀和通货紧缩问题讨论综述》（第一作者，合写），《经济研究资料》，2000年第1期。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2．</w:t>
      </w:r>
      <w:r w:rsidRPr="002866DC">
        <w:rPr>
          <w:rFonts w:ascii="仿宋_GB2312" w:eastAsia="仿宋_GB2312" w:hAnsi="Calibri" w:cs="Times New Roman" w:hint="eastAsia"/>
          <w:sz w:val="24"/>
        </w:rPr>
        <w:t>《“十五”规划问题讨论综述》，《经济理论与经济管理》，2000年第6期。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3．</w:t>
      </w:r>
      <w:r w:rsidRPr="002866DC">
        <w:rPr>
          <w:rFonts w:ascii="仿宋_GB2312" w:eastAsia="仿宋_GB2312" w:hAnsi="Calibri" w:cs="Times New Roman" w:hint="eastAsia"/>
          <w:sz w:val="24"/>
        </w:rPr>
        <w:t>《启动民间投资问题讨论综述》，《经济理论与经济管理》，2001年第6期。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4．</w:t>
      </w:r>
      <w:r w:rsidRPr="002866DC">
        <w:rPr>
          <w:rFonts w:ascii="仿宋_GB2312" w:eastAsia="仿宋_GB2312" w:hAnsi="Calibri" w:cs="Times New Roman" w:hint="eastAsia"/>
          <w:sz w:val="24"/>
        </w:rPr>
        <w:t>《关于中国资本市场的讨论综述》，《经济理论与经济管理》，2001年第8期。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5．</w:t>
      </w:r>
      <w:r w:rsidRPr="002866DC">
        <w:rPr>
          <w:rFonts w:ascii="仿宋_GB2312" w:eastAsia="仿宋_GB2312" w:hAnsi="Calibri" w:cs="Times New Roman" w:hint="eastAsia"/>
          <w:sz w:val="24"/>
        </w:rPr>
        <w:t>《中国经济中的信用问题讨论综述》，《经济理论与经济管理》，2001年第11期。人大报刊复印资料《国民经济管理》，2002年第1期。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6．</w:t>
      </w:r>
      <w:r w:rsidRPr="002866DC">
        <w:rPr>
          <w:rFonts w:ascii="仿宋_GB2312" w:eastAsia="仿宋_GB2312" w:hAnsi="Calibri" w:cs="Times New Roman" w:hint="eastAsia"/>
          <w:sz w:val="24"/>
        </w:rPr>
        <w:t>《我国私募基金问题讨论综述》，《经济理论与经济管理》，2002年第3期。《新华文摘》2002年第10期全文转载。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7．</w:t>
      </w:r>
      <w:r w:rsidRPr="002866DC">
        <w:rPr>
          <w:rFonts w:ascii="仿宋_GB2312" w:eastAsia="仿宋_GB2312" w:hAnsi="Calibri" w:cs="Times New Roman" w:hint="eastAsia"/>
          <w:sz w:val="24"/>
        </w:rPr>
        <w:t>《如何看待私营企业主收入问题讨论综述》，《经济理论与经济管理》，2002年第6期。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8．</w:t>
      </w:r>
      <w:r w:rsidRPr="002866DC">
        <w:rPr>
          <w:rFonts w:ascii="仿宋_GB2312" w:eastAsia="仿宋_GB2312" w:hAnsi="Calibri" w:cs="Times New Roman" w:hint="eastAsia"/>
          <w:sz w:val="24"/>
        </w:rPr>
        <w:t>《物流：第三利润源泉——与丁俊发先生对话》，《经济理论与经济管理》，2002年第7期。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9．</w:t>
      </w:r>
      <w:r w:rsidRPr="002866DC">
        <w:rPr>
          <w:rFonts w:ascii="仿宋_GB2312" w:eastAsia="仿宋_GB2312" w:hAnsi="Calibri" w:cs="Times New Roman" w:hint="eastAsia"/>
          <w:sz w:val="24"/>
        </w:rPr>
        <w:t>《信任、信誉与信用治理——与李善民等教授对话》，《经济理论与经济管理》，2002年第9期。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10．</w:t>
      </w:r>
      <w:r w:rsidRPr="002866DC">
        <w:rPr>
          <w:rFonts w:ascii="仿宋_GB2312" w:eastAsia="仿宋_GB2312" w:hAnsi="Calibri" w:cs="Times New Roman" w:hint="eastAsia"/>
          <w:sz w:val="24"/>
        </w:rPr>
        <w:t>《关于跨越式发展讨论综述》，《经济理论与经济管理》，2002年第9期。《新华文摘》，2002年第12期全文转载。人大报刊复印资料《社会主义经济理论与实践》2002年第2期转载。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11．</w:t>
      </w:r>
      <w:r w:rsidRPr="002866DC">
        <w:rPr>
          <w:rFonts w:ascii="仿宋_GB2312" w:eastAsia="仿宋_GB2312" w:hAnsi="Calibri" w:cs="Times New Roman" w:hint="eastAsia"/>
          <w:sz w:val="24"/>
        </w:rPr>
        <w:t>《WTO打开中国期市发展之门——与田源先生对话》，《经济理论与经济管理》，2002年第12期。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12．</w:t>
      </w:r>
      <w:r w:rsidRPr="002866DC">
        <w:rPr>
          <w:rFonts w:ascii="仿宋_GB2312" w:eastAsia="仿宋_GB2312" w:hAnsi="Calibri" w:cs="Times New Roman" w:hint="eastAsia"/>
          <w:sz w:val="24"/>
        </w:rPr>
        <w:t>《入市一年对中国经济影响讨论综述》，《经济理论与经济管理》，2002年第12期。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13．</w:t>
      </w:r>
      <w:r w:rsidRPr="002866DC">
        <w:rPr>
          <w:rFonts w:ascii="仿宋_GB2312" w:eastAsia="仿宋_GB2312" w:hAnsi="Calibri" w:cs="Times New Roman" w:hint="eastAsia"/>
          <w:sz w:val="24"/>
        </w:rPr>
        <w:t>《经济热点问题研究进展报告》（第一辑），与黄泰岩共同主编，经济科学出版社，2002年12月。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14．</w:t>
      </w:r>
      <w:r w:rsidRPr="002866DC">
        <w:rPr>
          <w:rFonts w:ascii="仿宋_GB2312" w:eastAsia="仿宋_GB2312" w:hAnsi="Calibri" w:cs="Times New Roman" w:hint="eastAsia"/>
          <w:sz w:val="24"/>
        </w:rPr>
        <w:t>《未来20年中国经济发展的目标和道路——与江小涓研究员对话》，《经济理论与经济管理》，2003年第1期。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15．</w:t>
      </w:r>
      <w:r w:rsidRPr="002866DC">
        <w:rPr>
          <w:rFonts w:ascii="仿宋_GB2312" w:eastAsia="仿宋_GB2312" w:hAnsi="Calibri" w:cs="Times New Roman" w:hint="eastAsia"/>
          <w:sz w:val="24"/>
        </w:rPr>
        <w:t>《积极财政政策</w:t>
      </w:r>
      <w:r w:rsidRPr="002866DC">
        <w:rPr>
          <w:rFonts w:ascii="仿宋_GB2312" w:eastAsia="仿宋_GB2312" w:hAnsi="Calibri" w:cs="Times New Roman" w:hint="eastAsia"/>
          <w:color w:val="FF00FF"/>
          <w:sz w:val="24"/>
        </w:rPr>
        <w:t>淡</w:t>
      </w:r>
      <w:r w:rsidRPr="002866DC">
        <w:rPr>
          <w:rFonts w:ascii="仿宋_GB2312" w:eastAsia="仿宋_GB2312" w:hAnsi="Calibri" w:cs="Times New Roman" w:hint="eastAsia"/>
          <w:sz w:val="24"/>
        </w:rPr>
        <w:t>出问题讨论综述》，《经济理论与经济管理》，2003年第8期。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lastRenderedPageBreak/>
        <w:t>16．</w:t>
      </w:r>
      <w:r w:rsidRPr="002866DC">
        <w:rPr>
          <w:rFonts w:ascii="仿宋_GB2312" w:eastAsia="仿宋_GB2312" w:hAnsi="Calibri" w:cs="Times New Roman" w:hint="eastAsia"/>
          <w:sz w:val="24"/>
        </w:rPr>
        <w:t>《虚拟经济问题讨论综述》，《经济理论与经济管理》，2003年第5期。《新华文摘》2003年第10期全文转载。人大报刊复印资料《理论经济学》2003年第9期转载。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17．</w:t>
      </w:r>
      <w:r w:rsidRPr="002866DC">
        <w:rPr>
          <w:rFonts w:ascii="仿宋_GB2312" w:eastAsia="仿宋_GB2312" w:hAnsi="Calibri" w:cs="Times New Roman" w:hint="eastAsia"/>
          <w:sz w:val="24"/>
        </w:rPr>
        <w:t>《中国经济过热问题讨论综述》，《经济理论与经济管理》，2003年第12期。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18．</w:t>
      </w:r>
      <w:r w:rsidRPr="002866DC">
        <w:rPr>
          <w:rFonts w:ascii="仿宋_GB2312" w:eastAsia="仿宋_GB2312" w:hAnsi="Calibri" w:cs="Times New Roman" w:hint="eastAsia"/>
          <w:sz w:val="24"/>
        </w:rPr>
        <w:t>《产业集群问题讨论综述》，《经济理论与经济管理》，2004年第2期。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19．</w:t>
      </w:r>
      <w:r w:rsidRPr="002866DC">
        <w:rPr>
          <w:rFonts w:ascii="仿宋_GB2312" w:eastAsia="仿宋_GB2312" w:hAnsi="Calibri" w:cs="Times New Roman" w:hint="eastAsia"/>
          <w:sz w:val="24"/>
        </w:rPr>
        <w:t>《统筹区域发展问题讨论综述》，《经济理论与经济管理》，2004年第4期。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20．</w:t>
      </w:r>
      <w:r w:rsidRPr="002866DC">
        <w:rPr>
          <w:rFonts w:ascii="仿宋_GB2312" w:eastAsia="仿宋_GB2312" w:hAnsi="Calibri" w:cs="Times New Roman" w:hint="eastAsia"/>
          <w:sz w:val="24"/>
        </w:rPr>
        <w:t>《中国“三农”问题讨论综述》，《经济理论与经济管理》，2004年第6期。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21．</w:t>
      </w:r>
      <w:r w:rsidRPr="002866DC">
        <w:rPr>
          <w:rFonts w:ascii="仿宋_GB2312" w:eastAsia="仿宋_GB2312" w:hAnsi="Calibri" w:cs="Times New Roman" w:hint="eastAsia"/>
          <w:sz w:val="24"/>
        </w:rPr>
        <w:t>《我国金融监管问题讨论综述》，《经济理论与经济管理》，2004年第8期。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22．</w:t>
      </w:r>
      <w:r w:rsidRPr="002866DC">
        <w:rPr>
          <w:rFonts w:ascii="仿宋_GB2312" w:eastAsia="仿宋_GB2312" w:hAnsi="Calibri" w:cs="Times New Roman" w:hint="eastAsia"/>
          <w:sz w:val="24"/>
        </w:rPr>
        <w:t>《我国企业家问题讨论综述》，《经济理论与经济管理》，2004年第11期。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23．</w:t>
      </w:r>
      <w:r w:rsidRPr="002866DC">
        <w:rPr>
          <w:rFonts w:ascii="仿宋_GB2312" w:eastAsia="仿宋_GB2312" w:hAnsi="Calibri" w:cs="Times New Roman" w:hint="eastAsia"/>
          <w:sz w:val="24"/>
        </w:rPr>
        <w:t>《国外经济热点前沿》（第一辑），与黄泰岩共同主编，经济科学出版社，2004年5月。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24．</w:t>
      </w:r>
      <w:r w:rsidRPr="002866DC">
        <w:rPr>
          <w:rFonts w:ascii="仿宋_GB2312" w:eastAsia="仿宋_GB2312" w:hAnsi="Calibri" w:cs="Times New Roman" w:hint="eastAsia"/>
          <w:sz w:val="24"/>
        </w:rPr>
        <w:t>《中国经济热点前沿》（第一辑），与黄泰岩共同主编，经济科学出版社，2004年5月。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25．</w:t>
      </w:r>
      <w:r w:rsidRPr="002866DC">
        <w:rPr>
          <w:rFonts w:ascii="仿宋_GB2312" w:eastAsia="仿宋_GB2312" w:hAnsi="Calibri" w:cs="Times New Roman" w:hint="eastAsia"/>
          <w:sz w:val="24"/>
        </w:rPr>
        <w:t>《中国重化工业化问题讨论综述》，《经济理论与经济管理》，2005年第1期。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2"/>
        </w:rPr>
      </w:pPr>
      <w:r>
        <w:rPr>
          <w:rFonts w:ascii="仿宋_GB2312" w:eastAsia="仿宋_GB2312" w:hAnsi="Calibri" w:cs="Times New Roman" w:hint="eastAsia"/>
          <w:sz w:val="22"/>
        </w:rPr>
        <w:t>26．</w:t>
      </w:r>
      <w:r w:rsidRPr="002866DC">
        <w:rPr>
          <w:rFonts w:ascii="仿宋_GB2312" w:eastAsia="仿宋_GB2312" w:hAnsi="Calibri" w:cs="Times New Roman" w:hint="eastAsia"/>
          <w:sz w:val="22"/>
        </w:rPr>
        <w:t>《重要战略机遇</w:t>
      </w:r>
      <w:r w:rsidRPr="002866DC">
        <w:rPr>
          <w:rFonts w:ascii="仿宋_GB2312" w:eastAsia="仿宋_GB2312" w:hAnsi="Calibri" w:cs="Times New Roman" w:hint="eastAsia"/>
          <w:color w:val="FF00FF"/>
          <w:sz w:val="22"/>
        </w:rPr>
        <w:t>期</w:t>
      </w:r>
      <w:r w:rsidRPr="002866DC">
        <w:rPr>
          <w:rFonts w:ascii="仿宋_GB2312" w:eastAsia="仿宋_GB2312" w:hAnsi="Calibri" w:cs="Times New Roman" w:hint="eastAsia"/>
          <w:sz w:val="22"/>
        </w:rPr>
        <w:t>中国的宏观经济发展》，《财经论丛》，2005年第1期。</w:t>
      </w:r>
      <w:r w:rsidRPr="002866DC">
        <w:rPr>
          <w:rFonts w:ascii="仿宋_GB2312" w:eastAsia="仿宋_GB2312" w:hAnsi="Calibri" w:cs="Times New Roman" w:hint="eastAsia"/>
          <w:sz w:val="24"/>
        </w:rPr>
        <w:t>人大报刊复印资料《社会主义经济理论与实践》2005年第4期。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 w:rsidRPr="002866DC">
        <w:rPr>
          <w:rFonts w:ascii="仿宋_GB2312" w:eastAsia="仿宋_GB2312" w:hAnsi="Calibri" w:cs="Times New Roman" w:hint="eastAsia"/>
          <w:sz w:val="24"/>
        </w:rPr>
        <w:t>《国外经济热点前沿》（第2辑），与黄泰岩共同主编，经济科学出版社，2005年6月。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27．</w:t>
      </w:r>
      <w:r w:rsidRPr="002866DC">
        <w:rPr>
          <w:rFonts w:ascii="仿宋_GB2312" w:eastAsia="仿宋_GB2312" w:hAnsi="Calibri" w:cs="Times New Roman" w:hint="eastAsia"/>
          <w:sz w:val="24"/>
        </w:rPr>
        <w:t>《中国经济热点前沿》（第2辑），与黄泰岩共同主编，经济科学出版社，2005年6月。[66]《我国外汇储备问题讨论综述》，《经济理论与经济管理》，2005年第10期。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28．</w:t>
      </w:r>
      <w:r w:rsidRPr="002866DC">
        <w:rPr>
          <w:rFonts w:ascii="仿宋_GB2312" w:eastAsia="仿宋_GB2312" w:hAnsi="Calibri" w:cs="Times New Roman" w:hint="eastAsia"/>
          <w:sz w:val="24"/>
        </w:rPr>
        <w:t>《我国商业银行存贷差问题讨论综述》，《经济理论与经济管理》，2006年第2期。</w:t>
      </w:r>
    </w:p>
    <w:p w:rsidR="00F7655A" w:rsidRPr="002866DC" w:rsidRDefault="00F7655A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29．</w:t>
      </w:r>
      <w:r w:rsidRPr="002866DC">
        <w:rPr>
          <w:rFonts w:ascii="仿宋_GB2312" w:eastAsia="仿宋_GB2312" w:hAnsi="Calibri" w:cs="Times New Roman" w:hint="eastAsia"/>
          <w:sz w:val="24"/>
        </w:rPr>
        <w:t>《提高自主创新能力问题讨论综述》，《经济理论与经济管理》，2006年第5期。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30．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《网络时代学术期刊的生存之道》，《理论与当代》，2006年第6期。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31．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《产业经济管理》（教材），与蒋</w:t>
      </w:r>
      <w:r w:rsidR="00F7655A" w:rsidRPr="002866DC">
        <w:rPr>
          <w:rFonts w:ascii="仿宋_GB2312" w:eastAsia="仿宋_GB2312" w:hAnsi="Calibri" w:cs="Times New Roman" w:hint="eastAsia"/>
          <w:color w:val="FF00FF"/>
          <w:sz w:val="24"/>
        </w:rPr>
        <w:t>选</w:t>
      </w:r>
      <w:r w:rsidR="00F9429C">
        <w:rPr>
          <w:rFonts w:ascii="仿宋_GB2312" w:eastAsia="仿宋_GB2312" w:hAnsi="Calibri" w:cs="Times New Roman" w:hint="eastAsia"/>
          <w:sz w:val="24"/>
        </w:rPr>
        <w:t>、杨天宇</w:t>
      </w:r>
      <w:r w:rsidR="00F7655A" w:rsidRPr="002866DC">
        <w:rPr>
          <w:rFonts w:ascii="仿宋_GB2312" w:eastAsia="仿宋_GB2312" w:hAnsi="Calibri" w:cs="Times New Roman" w:hint="eastAsia"/>
          <w:sz w:val="24"/>
        </w:rPr>
        <w:t>共同主编，中国人民大学出版社，2006年6月。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32．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《我国当前宏观经济形势讨论综述》，《经济理论与经济管理》，2006年第8期。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33．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《我国产能过剩问题讨论综述》，《经济理论与经济管理》，2006年第10期。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34．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《关于建设创新型国家的讨论综述》，《经济理论与经济管理》，2006年11期。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35．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《入世五年中国经济的变化与发展问题讨论综述》，《经济理论与经济管理》，2007年第1期。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36．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《中国股市泡沫问题讨论综述》，《经济理论与经济管理》，2007年第4期。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37．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《中国民营经济发展问题讨论综述》（合写，第一作者），《经济理论与经济管理》，2007年第7期。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38．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《中国民营经济蓝皮书2007》（理论综述部分），社会科学文献出版社，2007年10月。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39．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《我国产业结构与产业政策问题讨论综述》（合写，第一作者），2008年第3期。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40．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 xml:space="preserve"> 《中国经济热点前沿》（第五辑，产业结构与产业政策部分，合写，第一作者），经济科学出版社，2008年6月。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41．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 xml:space="preserve"> 《改革开放30年我国所有制的变革》，《中国信息报》，2008年8月18日。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lastRenderedPageBreak/>
        <w:t>42．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《美国金融危机与中国的应对策略》，《理论视野》，2008年11期。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43．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《强化人民币国际地位正当时》，《中国经济评论》，2008年12期。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44．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《美国经济体的内在缺陷》，《中国经济评论》，2008年12期。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45．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《世界经济的结构性失衡及其纠偏》，《理论视野》，2009年第3期。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46．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《中国经济热点前沿》（第六辑，产业结构与产业政策部分，合写，第二作者），经济科学出版社，2009年5月。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47．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《解读“中国之谜”》（合作，第一作者），《新华航空》，2009年6月。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48．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《金融问题的历史性视角》（合作，第一作者），《IT经理世界》，2009年7月（第14期）。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49．</w:t>
      </w:r>
      <w:r w:rsidRPr="002866DC">
        <w:rPr>
          <w:rFonts w:ascii="仿宋_GB2312" w:eastAsia="仿宋_GB2312" w:hAnsi="Calibri" w:cs="Times New Roman" w:hint="eastAsia"/>
          <w:sz w:val="24"/>
        </w:rPr>
        <w:t xml:space="preserve"> </w:t>
      </w:r>
      <w:r w:rsidR="00F7655A" w:rsidRPr="002866DC">
        <w:rPr>
          <w:rFonts w:ascii="仿宋_GB2312" w:eastAsia="仿宋_GB2312" w:hAnsi="Calibri" w:cs="Times New Roman" w:hint="eastAsia"/>
          <w:sz w:val="24"/>
        </w:rPr>
        <w:t>[91]《金融危机后的中国大企业模式》（合作，第一作者），《新华航空》，2009年8期。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50．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《金融的逻辑》，《IT经理世界》，2009年10月（第21期）。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51．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《低碳经济：回归和谐的必然选择》（合作，第一作者），《新华航空》，2009年第10期。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52．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《选择与崛起：中国模式新挑战》（合作，第一作者），《新华航空》，2009年第11期。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53．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《国际经济体系中国家利益至上》，《中国经济导报》，2009年11月。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54．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《中国教育批判》（合作，第一作者），《新华航空》，2009年12期。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55．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《区域超主权货币值得关注》，《中国经济导报》，2009年12月1日。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56．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《城市化背景下的中国社会变迁》（合作，第一作者），《新华航空》，2010年2期。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57．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《金融海啸后全球金融版图的变化》，《经济学家》，2010年第2期，2010年3月21日《上海社会科学报》摘要转载。人大报刊复印资料《金融与保险》2010年6期转载。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58．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《中国内生发展的解构分析》，《理论视野》，2010年第4期。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59．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>《中国经济的内生增长》（合作，第一作者），《新华航空》，2010年第4期。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60．</w:t>
      </w:r>
      <w:r w:rsidR="00F7655A" w:rsidRPr="002866DC">
        <w:rPr>
          <w:rFonts w:ascii="仿宋_GB2312" w:eastAsia="仿宋_GB2312" w:hAnsi="Calibri" w:cs="Times New Roman" w:hint="eastAsia"/>
          <w:sz w:val="24"/>
        </w:rPr>
        <w:t xml:space="preserve"> 《美元为什么走强？》（合作，第一作者），《新华航空》，2010年第5期。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2"/>
        </w:rPr>
      </w:pPr>
      <w:r>
        <w:rPr>
          <w:rFonts w:ascii="仿宋_GB2312" w:eastAsia="仿宋_GB2312" w:hAnsi="Calibri" w:cs="Times New Roman" w:hint="eastAsia"/>
          <w:sz w:val="24"/>
        </w:rPr>
        <w:t>61．</w:t>
      </w:r>
      <w:r w:rsidR="00F7655A" w:rsidRPr="002866DC">
        <w:rPr>
          <w:rFonts w:ascii="仿宋_GB2312" w:eastAsia="仿宋_GB2312" w:hAnsi="Calibri" w:cs="Times New Roman" w:hint="eastAsia"/>
          <w:sz w:val="22"/>
        </w:rPr>
        <w:t>《转变经济发展方式——“本土派”与“海外派”的对话》（合作，第一作者），中国人民大学出版社，2011年1月。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2"/>
        </w:rPr>
      </w:pPr>
      <w:r>
        <w:rPr>
          <w:rFonts w:ascii="仿宋_GB2312" w:eastAsia="仿宋_GB2312" w:hAnsi="Calibri" w:cs="Times New Roman" w:hint="eastAsia"/>
          <w:sz w:val="22"/>
        </w:rPr>
        <w:t>62．</w:t>
      </w:r>
      <w:r w:rsidR="00F7655A" w:rsidRPr="002866DC">
        <w:rPr>
          <w:rFonts w:ascii="仿宋_GB2312" w:eastAsia="仿宋_GB2312" w:hAnsi="Calibri" w:cs="Times New Roman" w:hint="eastAsia"/>
          <w:sz w:val="22"/>
        </w:rPr>
        <w:t>《人本发展实际上就是民本发展》，《人民论坛》2011年02（中），第318期。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2"/>
        </w:rPr>
      </w:pPr>
      <w:r>
        <w:rPr>
          <w:rFonts w:ascii="仿宋_GB2312" w:eastAsia="仿宋_GB2312" w:hAnsi="Calibri" w:cs="Times New Roman" w:hint="eastAsia"/>
          <w:sz w:val="22"/>
        </w:rPr>
        <w:t>63．</w:t>
      </w:r>
      <w:r w:rsidR="00F7655A" w:rsidRPr="002866DC">
        <w:rPr>
          <w:rFonts w:ascii="仿宋_GB2312" w:eastAsia="仿宋_GB2312" w:hAnsi="Calibri" w:cs="Times New Roman" w:hint="eastAsia"/>
          <w:sz w:val="22"/>
        </w:rPr>
        <w:t>《中国市场经济改革的最后突破——中国农地的产权确认》，《学术研究》，2011年第4期。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2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sz w:val="22"/>
        </w:rPr>
        <w:t>64．</w:t>
      </w:r>
      <w:r w:rsidR="00F7655A" w:rsidRPr="002866DC">
        <w:rPr>
          <w:rFonts w:ascii="仿宋_GB2312" w:eastAsia="仿宋_GB2312" w:hAnsi="Calibri" w:cs="Times New Roman" w:hint="eastAsia"/>
          <w:sz w:val="22"/>
        </w:rPr>
        <w:t>《中国的平等意识与传统文化》，《商业文化》2013年第1期（下）。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>
        <w:rPr>
          <w:rFonts w:ascii="Calibri" w:eastAsia="宋体" w:hAnsi="Calibri" w:cs="Times New Roman" w:hint="eastAsia"/>
          <w:sz w:val="24"/>
          <w:szCs w:val="21"/>
        </w:rPr>
        <w:t>65</w:t>
      </w:r>
      <w:r>
        <w:rPr>
          <w:rFonts w:ascii="Calibri" w:eastAsia="宋体" w:hAnsi="Calibri" w:cs="Times New Roman" w:hint="eastAsia"/>
          <w:sz w:val="24"/>
          <w:szCs w:val="21"/>
        </w:rPr>
        <w:t>．</w:t>
      </w:r>
      <w:r w:rsidR="00F7655A" w:rsidRPr="002866DC">
        <w:rPr>
          <w:rFonts w:ascii="Calibri" w:eastAsia="宋体" w:hAnsi="Calibri" w:cs="Times New Roman" w:hint="eastAsia"/>
          <w:sz w:val="24"/>
          <w:szCs w:val="21"/>
        </w:rPr>
        <w:t>《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中国经济的增长需要稳中求进》，《当代贵州》，2013年01期（1月上）。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 w:rsidRPr="00656821">
        <w:rPr>
          <w:rFonts w:ascii="仿宋_GB2312" w:eastAsia="仿宋_GB2312" w:hAnsi="Calibri" w:cs="Times New Roman" w:hint="eastAsia"/>
          <w:sz w:val="24"/>
          <w:szCs w:val="21"/>
        </w:rPr>
        <w:t>66．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《政府管制的根本：突出的公共性与利益中性》，《浙江工商大学学报》，2013年第1期。中国人民大学报刊复印资料《管理科学》,2013年第5期.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 w:rsidRPr="00656821">
        <w:rPr>
          <w:rFonts w:ascii="仿宋_GB2312" w:eastAsia="仿宋_GB2312" w:hAnsi="Calibri" w:cs="Times New Roman" w:hint="eastAsia"/>
          <w:sz w:val="24"/>
          <w:szCs w:val="21"/>
        </w:rPr>
        <w:t>67．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《如何走出中等收入陷阱》，《当代贵州》2013年04期（2月上）。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 w:rsidRPr="00656821">
        <w:rPr>
          <w:rFonts w:ascii="仿宋_GB2312" w:eastAsia="仿宋_GB2312" w:hAnsi="Calibri" w:cs="Times New Roman" w:hint="eastAsia"/>
          <w:sz w:val="24"/>
          <w:szCs w:val="21"/>
        </w:rPr>
        <w:t>68．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《中国如何应对全球货币泡沫再度泛滥》，《当代贵州》2013年07期（三月上）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 w:rsidRPr="00656821">
        <w:rPr>
          <w:rFonts w:ascii="仿宋_GB2312" w:eastAsia="仿宋_GB2312" w:hAnsi="Calibri" w:cs="Times New Roman" w:hint="eastAsia"/>
          <w:sz w:val="24"/>
          <w:szCs w:val="21"/>
        </w:rPr>
        <w:t>69．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《解读“中国梦”》，《当代贵州》2013年第10期（四月上）。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 w:rsidRPr="00656821">
        <w:rPr>
          <w:rFonts w:ascii="仿宋_GB2312" w:eastAsia="仿宋_GB2312" w:hAnsi="Calibri" w:cs="Times New Roman" w:hint="eastAsia"/>
          <w:sz w:val="24"/>
          <w:szCs w:val="21"/>
        </w:rPr>
        <w:t>70．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《后发优势发挥的演进逻辑》，《当代贵州》2013年13期（5月上）。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 w:rsidRPr="00656821">
        <w:rPr>
          <w:rFonts w:ascii="仿宋_GB2312" w:eastAsia="仿宋_GB2312" w:hAnsi="Calibri" w:cs="Times New Roman" w:hint="eastAsia"/>
          <w:sz w:val="24"/>
          <w:szCs w:val="21"/>
        </w:rPr>
        <w:t>71．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《新型城镇化新在何处？》《当代贵州》2013年19期（七月上）。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 w:rsidRPr="00656821">
        <w:rPr>
          <w:rFonts w:ascii="仿宋_GB2312" w:eastAsia="仿宋_GB2312" w:hAnsi="Calibri" w:cs="Times New Roman" w:hint="eastAsia"/>
          <w:sz w:val="24"/>
          <w:szCs w:val="21"/>
        </w:rPr>
        <w:t>72．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《中国的精英移民与资本外流》（第一作者，合作者张明），《商业文化》2013年第7期（下）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 w:rsidRPr="00656821">
        <w:rPr>
          <w:rFonts w:ascii="仿宋_GB2312" w:eastAsia="仿宋_GB2312" w:hAnsi="Calibri" w:cs="Times New Roman" w:hint="eastAsia"/>
          <w:sz w:val="24"/>
          <w:szCs w:val="21"/>
        </w:rPr>
        <w:lastRenderedPageBreak/>
        <w:t>73．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《技术的力量与形成源泉》，《当代贵州》2013年22期（八月上）。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 w:rsidRPr="00656821">
        <w:rPr>
          <w:rFonts w:ascii="仿宋_GB2312" w:eastAsia="仿宋_GB2312" w:hAnsi="Calibri" w:cs="Times New Roman" w:hint="eastAsia"/>
          <w:sz w:val="24"/>
          <w:szCs w:val="21"/>
        </w:rPr>
        <w:t>74．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《自由、灵性与经济增长》，《当代贵州》2013年第25期（九月上）。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 w:rsidRPr="00656821">
        <w:rPr>
          <w:rFonts w:ascii="仿宋_GB2312" w:eastAsia="仿宋_GB2312" w:hAnsi="Calibri" w:cs="Times New Roman" w:hint="eastAsia"/>
          <w:sz w:val="24"/>
          <w:szCs w:val="21"/>
        </w:rPr>
        <w:t>75．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《中国的结构问题心梗在何处》，《当代贵州》2013年第28期（十月上）。</w:t>
      </w:r>
    </w:p>
    <w:p w:rsidR="00F7655A" w:rsidRPr="002866DC" w:rsidRDefault="00261879" w:rsidP="00F7655A">
      <w:pPr>
        <w:rPr>
          <w:rFonts w:ascii="仿宋_GB2312" w:eastAsia="仿宋_GB2312" w:hAnsi="Calibri" w:cs="Times New Roman" w:hint="eastAsia"/>
          <w:sz w:val="24"/>
          <w:szCs w:val="21"/>
        </w:rPr>
      </w:pPr>
      <w:r w:rsidRPr="00656821">
        <w:rPr>
          <w:rFonts w:ascii="仿宋_GB2312" w:eastAsia="仿宋_GB2312" w:hAnsi="Calibri" w:cs="Times New Roman" w:hint="eastAsia"/>
          <w:sz w:val="24"/>
          <w:szCs w:val="21"/>
        </w:rPr>
        <w:t>76．</w:t>
      </w:r>
      <w:r w:rsidR="00F7655A" w:rsidRPr="002866DC">
        <w:rPr>
          <w:rFonts w:ascii="仿宋_GB2312" w:eastAsia="仿宋_GB2312" w:hAnsi="Calibri" w:cs="Times New Roman" w:hint="eastAsia"/>
          <w:sz w:val="24"/>
          <w:szCs w:val="21"/>
        </w:rPr>
        <w:t>《中国经济增长动力的转换机制》，《人民论坛》2015（3月上）</w:t>
      </w:r>
    </w:p>
    <w:p w:rsidR="00F7655A" w:rsidRPr="00656821" w:rsidRDefault="00F7655A" w:rsidP="00A770B9">
      <w:pPr>
        <w:rPr>
          <w:rFonts w:ascii="仿宋_GB2312" w:eastAsia="仿宋_GB2312" w:hint="eastAsia"/>
        </w:rPr>
      </w:pPr>
    </w:p>
    <w:p w:rsidR="00B77729" w:rsidRPr="00656821" w:rsidRDefault="00B77729">
      <w:pPr>
        <w:rPr>
          <w:rFonts w:ascii="仿宋_GB2312" w:eastAsia="仿宋_GB2312" w:hint="eastAsia"/>
        </w:rPr>
      </w:pPr>
    </w:p>
    <w:sectPr w:rsidR="00B77729" w:rsidRPr="00656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E"/>
    <w:rsid w:val="00210523"/>
    <w:rsid w:val="00261879"/>
    <w:rsid w:val="002866DC"/>
    <w:rsid w:val="003F378E"/>
    <w:rsid w:val="005E7044"/>
    <w:rsid w:val="00656821"/>
    <w:rsid w:val="008707B0"/>
    <w:rsid w:val="00A770B9"/>
    <w:rsid w:val="00B5027F"/>
    <w:rsid w:val="00B77729"/>
    <w:rsid w:val="00C1167D"/>
    <w:rsid w:val="00C850E7"/>
    <w:rsid w:val="00E158FE"/>
    <w:rsid w:val="00F7655A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570</Words>
  <Characters>3253</Characters>
  <Application>Microsoft Office Word</Application>
  <DocSecurity>0</DocSecurity>
  <Lines>27</Lines>
  <Paragraphs>7</Paragraphs>
  <ScaleCrop>false</ScaleCrop>
  <Company>微软中国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2016-05-10T07:29:00Z</dcterms:created>
  <dcterms:modified xsi:type="dcterms:W3CDTF">2016-05-10T08:39:00Z</dcterms:modified>
</cp:coreProperties>
</file>