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E8" w:rsidRDefault="003A5CE8">
      <w:pPr>
        <w:pStyle w:val="A5"/>
        <w:ind w:firstLine="480"/>
        <w:jc w:val="center"/>
      </w:pPr>
    </w:p>
    <w:p w:rsidR="003A5CE8" w:rsidRDefault="003A5CE8">
      <w:pPr>
        <w:pStyle w:val="A5"/>
        <w:ind w:firstLine="480"/>
        <w:jc w:val="center"/>
      </w:pPr>
    </w:p>
    <w:p w:rsidR="003A5CE8" w:rsidRDefault="003A5CE8">
      <w:pPr>
        <w:pStyle w:val="A5"/>
        <w:ind w:firstLine="480"/>
        <w:jc w:val="center"/>
      </w:pPr>
    </w:p>
    <w:p w:rsidR="003A5CE8" w:rsidRDefault="003A5CE8">
      <w:pPr>
        <w:pStyle w:val="A5"/>
        <w:ind w:firstLine="480"/>
        <w:jc w:val="center"/>
      </w:pPr>
    </w:p>
    <w:p w:rsidR="003A5CE8" w:rsidRDefault="003A5CE8">
      <w:pPr>
        <w:pStyle w:val="A5"/>
        <w:ind w:firstLine="480"/>
        <w:jc w:val="center"/>
      </w:pPr>
    </w:p>
    <w:p w:rsidR="003A5CE8" w:rsidRDefault="007038D7">
      <w:pPr>
        <w:pStyle w:val="A5"/>
        <w:ind w:firstLine="480"/>
        <w:jc w:val="center"/>
        <w:rPr>
          <w:rFonts w:ascii="宋体" w:eastAsia="宋体" w:hAnsi="宋体" w:cs="宋体"/>
          <w:sz w:val="36"/>
          <w:szCs w:val="36"/>
        </w:rPr>
      </w:pPr>
      <w:r>
        <w:rPr>
          <w:rFonts w:ascii="宋体" w:eastAsia="宋体" w:hAnsi="宋体" w:cs="宋体"/>
          <w:sz w:val="36"/>
          <w:szCs w:val="36"/>
        </w:rPr>
        <w:t>精典博维文化传媒公司的融资决策</w:t>
      </w:r>
    </w:p>
    <w:p w:rsidR="003A5CE8" w:rsidRDefault="003A5CE8">
      <w:pPr>
        <w:pStyle w:val="A5"/>
        <w:jc w:val="left"/>
        <w:rPr>
          <w:rFonts w:ascii="宋体" w:eastAsia="宋体" w:hAnsi="宋体" w:cs="宋体"/>
          <w:sz w:val="30"/>
          <w:szCs w:val="30"/>
        </w:rPr>
      </w:pPr>
    </w:p>
    <w:p w:rsidR="003A5CE8" w:rsidRDefault="007038D7">
      <w:pPr>
        <w:pStyle w:val="A5"/>
        <w:jc w:val="left"/>
        <w:rPr>
          <w:b/>
          <w:bCs/>
          <w:sz w:val="30"/>
          <w:szCs w:val="30"/>
        </w:rPr>
      </w:pPr>
      <w:r>
        <w:rPr>
          <w:rFonts w:ascii="宋体" w:eastAsia="宋体" w:hAnsi="宋体" w:cs="宋体"/>
          <w:sz w:val="30"/>
          <w:szCs w:val="30"/>
          <w:shd w:val="clear" w:color="auto" w:fill="C0C0C0"/>
        </w:rPr>
        <w:t>引言：</w:t>
      </w:r>
    </w:p>
    <w:p w:rsidR="003A5CE8" w:rsidRDefault="003A5CE8">
      <w:pPr>
        <w:pStyle w:val="A5"/>
        <w:ind w:firstLine="480"/>
        <w:rPr>
          <w:b/>
          <w:bCs/>
        </w:rPr>
      </w:pPr>
    </w:p>
    <w:p w:rsidR="003A5CE8" w:rsidRDefault="007038D7">
      <w:pPr>
        <w:pStyle w:val="A5"/>
        <w:ind w:firstLine="480"/>
        <w:rPr>
          <w:rFonts w:ascii="宋体" w:eastAsia="宋体" w:hAnsi="宋体" w:cs="宋体"/>
        </w:rPr>
      </w:pPr>
      <w:r>
        <w:rPr>
          <w:rFonts w:ascii="Times New Roman"/>
          <w:lang w:val="en-US"/>
        </w:rPr>
        <w:t>2015</w:t>
      </w:r>
      <w:r>
        <w:rPr>
          <w:rFonts w:ascii="宋体" w:eastAsia="宋体" w:hAnsi="宋体" w:cs="宋体"/>
        </w:rPr>
        <w:t>年的一天，在北京市西城区出版创意产业园的一间办公室里，精典博维的董事长陈黎明为公司未来道路的选择陷入了沉思：上市公司华媒控股对精典博维伸出了收购的橄榄枝，接受还是拒绝，这是个问题。</w:t>
      </w:r>
    </w:p>
    <w:p w:rsidR="003A5CE8" w:rsidRDefault="007038D7">
      <w:pPr>
        <w:pStyle w:val="A5"/>
        <w:ind w:firstLine="480"/>
        <w:rPr>
          <w:rFonts w:ascii="宋体" w:eastAsia="宋体" w:hAnsi="宋体" w:cs="宋体"/>
        </w:rPr>
      </w:pPr>
      <w:r>
        <w:rPr>
          <w:rFonts w:ascii="宋体" w:eastAsia="宋体" w:hAnsi="宋体" w:cs="宋体"/>
        </w:rPr>
        <w:t>北京精典博维文化传媒有限公司创办于</w:t>
      </w:r>
      <w:r>
        <w:rPr>
          <w:rFonts w:ascii="Times New Roman"/>
          <w:lang w:val="en-US"/>
        </w:rPr>
        <w:t>2005</w:t>
      </w:r>
      <w:r>
        <w:rPr>
          <w:rFonts w:ascii="宋体" w:eastAsia="宋体" w:hAnsi="宋体" w:cs="宋体"/>
        </w:rPr>
        <w:t>年，是中国国内领军型民营文化传媒机构。致力于开发大众传媒产品：图书、杂志和电子出版物的选题策划、旅游传媒、名家经纪、影视策划、实体书店、以及数字传媒及其衍生业务等立体综合型文化传媒业务精典博维这个名字对许多人来说也许有些陌生，然而提起其重点签约的各路名家，用如雷贯耳来形容却并不夸张</w:t>
      </w:r>
      <w:r>
        <w:rPr>
          <w:rFonts w:hAnsi="Times New Roman"/>
          <w:lang w:val="en-US"/>
        </w:rPr>
        <w:t>——</w:t>
      </w:r>
      <w:r>
        <w:rPr>
          <w:rFonts w:ascii="宋体" w:eastAsia="宋体" w:hAnsi="宋体" w:cs="宋体"/>
        </w:rPr>
        <w:t>诺贝尔文学奖得主莫言、知名作家阎连科、阿来、麦加；书画家欧阳中石、何水法等都在此列。精典博维以出版起家，以其名家经纪业务知名，有着丰富优质版权资源、图书策划经验、良好营销渠道和市场营销能力，是目前国内最大的民营文化传播公司之一。</w:t>
      </w:r>
    </w:p>
    <w:p w:rsidR="003A5CE8" w:rsidRDefault="007038D7">
      <w:pPr>
        <w:pStyle w:val="A5"/>
        <w:ind w:firstLine="480"/>
        <w:rPr>
          <w:rFonts w:ascii="宋体" w:eastAsia="宋体" w:hAnsi="宋体" w:cs="宋体"/>
        </w:rPr>
      </w:pPr>
      <w:r>
        <w:rPr>
          <w:rFonts w:ascii="宋体" w:eastAsia="宋体" w:hAnsi="宋体" w:cs="宋体"/>
        </w:rPr>
        <w:t>华媒控股对于大众来说可能更加熟悉，作为一家杭报集团旗下的上市公司，华媒控股本身就拥有都市快报、</w:t>
      </w:r>
      <w:r>
        <w:rPr>
          <w:rFonts w:ascii="Times New Roman"/>
          <w:lang w:val="en-US"/>
        </w:rPr>
        <w:t>19</w:t>
      </w:r>
      <w:r>
        <w:rPr>
          <w:rFonts w:ascii="宋体" w:eastAsia="宋体" w:hAnsi="宋体" w:cs="宋体"/>
        </w:rPr>
        <w:t>楼等优质的媒体资源，近些年又收购了快点传播，成立了拓展影视业务的子公司华泰一媒，致力于多元化发展。</w:t>
      </w:r>
    </w:p>
    <w:p w:rsidR="003A5CE8" w:rsidRDefault="007038D7">
      <w:pPr>
        <w:pStyle w:val="A5"/>
        <w:widowControl/>
        <w:ind w:firstLine="480"/>
        <w:jc w:val="left"/>
        <w:rPr>
          <w:rFonts w:ascii="宋体" w:eastAsia="宋体" w:hAnsi="宋体" w:cs="宋体"/>
        </w:rPr>
      </w:pPr>
      <w:r>
        <w:rPr>
          <w:rFonts w:ascii="宋体" w:eastAsia="宋体" w:hAnsi="宋体" w:cs="宋体"/>
        </w:rPr>
        <w:t>对于这笔并购提议来说，精典博维现有的网络文学业务、类媒体广告投放业务、影视剧本改编、推介业务是华媒控股未来重点转型的项目，而华媒控股资源、影响力和入口，也正是精典博维新业务发展所需。华媒控股旗下的</w:t>
      </w:r>
      <w:r>
        <w:rPr>
          <w:rFonts w:ascii="Times New Roman"/>
          <w:lang w:val="en-US"/>
        </w:rPr>
        <w:t>19</w:t>
      </w:r>
      <w:r>
        <w:rPr>
          <w:rFonts w:ascii="宋体" w:eastAsia="宋体" w:hAnsi="宋体" w:cs="宋体"/>
        </w:rPr>
        <w:t>楼网络平台拥有着庞大使用群体和广泛的大众影响力；而快点传播则拥有极强的渠道拓展能力，与湖南卫视、中国移动等都有着深度合作；这些资源都可以和精典博维拥有的优秀文学著作权、文化产业项目的运作能力相嫁接，助力精典博维实现其业务拓展的战略，提升精典博维盈利能力，同时也能扩大华媒控股自身的品牌影响力。</w:t>
      </w:r>
    </w:p>
    <w:p w:rsidR="003A5CE8" w:rsidRDefault="007038D7">
      <w:pPr>
        <w:pStyle w:val="A5"/>
        <w:ind w:firstLine="480"/>
        <w:rPr>
          <w:rFonts w:ascii="宋体" w:eastAsia="宋体" w:hAnsi="宋体" w:cs="宋体"/>
        </w:rPr>
      </w:pPr>
      <w:r>
        <w:rPr>
          <w:rFonts w:ascii="宋体" w:eastAsia="宋体" w:hAnsi="宋体" w:cs="宋体"/>
        </w:rPr>
        <w:t>因而这笔收购看起来是一次双赢的合作，也顺应了当下正火的发展互联网</w:t>
      </w:r>
      <w:r>
        <w:rPr>
          <w:rFonts w:ascii="Times New Roman"/>
          <w:lang w:val="en-US"/>
        </w:rPr>
        <w:t>+</w:t>
      </w:r>
      <w:r>
        <w:rPr>
          <w:rFonts w:ascii="宋体" w:eastAsia="宋体" w:hAnsi="宋体" w:cs="宋体"/>
        </w:rPr>
        <w:t>的潮流，那么，陈黎明还犹豫什么呢？</w:t>
      </w:r>
    </w:p>
    <w:p w:rsidR="003A5CE8" w:rsidRDefault="007038D7">
      <w:pPr>
        <w:pStyle w:val="A5"/>
        <w:widowControl/>
        <w:ind w:firstLine="480"/>
        <w:jc w:val="left"/>
        <w:rPr>
          <w:rFonts w:ascii="宋体" w:eastAsia="宋体" w:hAnsi="宋体" w:cs="宋体"/>
        </w:rPr>
      </w:pPr>
      <w:r>
        <w:rPr>
          <w:rFonts w:ascii="宋体" w:eastAsia="宋体" w:hAnsi="宋体" w:cs="宋体"/>
        </w:rPr>
        <w:t>让我们来看看经典博维从单纯的图书发行公司发展到今天的文化传媒集团所经历的种种考验，跟踪一下陈黎明为了抓住时机，提升企业的产业布局而在财务上所作的种种选择，就能理解他在此时此刻的心情了。</w:t>
      </w:r>
    </w:p>
    <w:p w:rsidR="003A5CE8" w:rsidRDefault="003A5CE8">
      <w:pPr>
        <w:pStyle w:val="A5"/>
        <w:widowControl/>
        <w:ind w:firstLine="480"/>
        <w:jc w:val="left"/>
        <w:rPr>
          <w:rFonts w:ascii="宋体" w:eastAsia="宋体" w:hAnsi="宋体" w:cs="宋体"/>
        </w:rPr>
      </w:pPr>
    </w:p>
    <w:p w:rsidR="003A5CE8" w:rsidRDefault="003A5CE8">
      <w:pPr>
        <w:pStyle w:val="A5"/>
        <w:widowControl/>
        <w:ind w:firstLine="480"/>
        <w:jc w:val="left"/>
        <w:rPr>
          <w:rFonts w:ascii="宋体" w:eastAsia="宋体" w:hAnsi="宋体" w:cs="宋体"/>
        </w:rPr>
      </w:pPr>
    </w:p>
    <w:p w:rsidR="003A5CE8" w:rsidRDefault="007038D7">
      <w:pPr>
        <w:pStyle w:val="B"/>
        <w:rPr>
          <w:rFonts w:ascii="Cambria" w:eastAsia="Cambria" w:hAnsi="Cambria" w:cs="Cambria" w:hint="default"/>
          <w:b/>
          <w:bCs/>
          <w:sz w:val="30"/>
          <w:szCs w:val="30"/>
        </w:rPr>
      </w:pPr>
      <w:r>
        <w:rPr>
          <w:rFonts w:ascii="宋体" w:eastAsia="宋体" w:hAnsi="宋体" w:cs="宋体"/>
          <w:sz w:val="30"/>
          <w:szCs w:val="30"/>
          <w:shd w:val="clear" w:color="auto" w:fill="C0C0C0"/>
        </w:rPr>
        <w:t>第一部分：业背景及企业的经营特点：</w:t>
      </w:r>
    </w:p>
    <w:p w:rsidR="003A5CE8" w:rsidRDefault="003A5CE8">
      <w:pPr>
        <w:pStyle w:val="A5"/>
        <w:jc w:val="left"/>
        <w:rPr>
          <w:b/>
          <w:bCs/>
        </w:rPr>
      </w:pPr>
    </w:p>
    <w:p w:rsidR="003A5CE8" w:rsidRDefault="007038D7">
      <w:pPr>
        <w:pStyle w:val="A5"/>
        <w:ind w:firstLine="480"/>
        <w:rPr>
          <w:rFonts w:ascii="宋体" w:eastAsia="宋体" w:hAnsi="宋体" w:cs="宋体"/>
        </w:rPr>
      </w:pPr>
      <w:r>
        <w:rPr>
          <w:rFonts w:ascii="宋体" w:eastAsia="宋体" w:hAnsi="宋体" w:cs="宋体"/>
        </w:rPr>
        <w:t>出版传媒业由于其意识形态属性，一直受到国家的严格管控，公有资本和民营资本在这个领域内，有过相当长的一段不平等时期，时至今日，在管理上还有着许多不同。因而以出版为主要业务的民营文化传媒企业和同领域内的国</w:t>
      </w:r>
      <w:r>
        <w:rPr>
          <w:rFonts w:ascii="宋体" w:eastAsia="宋体" w:hAnsi="宋体" w:cs="宋体"/>
        </w:rPr>
        <w:lastRenderedPageBreak/>
        <w:t>有单位所处的状态其实是相互分割的，不能一概而论，本部分着重于介绍以出版业务为主的民营文化公司的主要生存环境。</w:t>
      </w:r>
    </w:p>
    <w:p w:rsidR="003A5CE8" w:rsidRDefault="007038D7">
      <w:pPr>
        <w:pStyle w:val="A5"/>
        <w:ind w:firstLine="480"/>
        <w:rPr>
          <w:rFonts w:ascii="宋体" w:eastAsia="宋体" w:hAnsi="宋体" w:cs="宋体"/>
        </w:rPr>
      </w:pPr>
      <w:r>
        <w:rPr>
          <w:rFonts w:ascii="宋体" w:eastAsia="宋体" w:hAnsi="宋体" w:cs="宋体"/>
        </w:rPr>
        <w:t>民营出版传媒机构经过</w:t>
      </w:r>
      <w:r>
        <w:rPr>
          <w:rFonts w:ascii="Times New Roman"/>
          <w:lang w:val="en-US"/>
        </w:rPr>
        <w:t>30</w:t>
      </w:r>
      <w:r>
        <w:rPr>
          <w:rFonts w:ascii="宋体" w:eastAsia="宋体" w:hAnsi="宋体" w:cs="宋体"/>
        </w:rPr>
        <w:t>年左右的发展</w:t>
      </w:r>
      <w:r>
        <w:rPr>
          <w:rFonts w:ascii="Times New Roman"/>
          <w:lang w:val="en-US"/>
        </w:rPr>
        <w:t>,</w:t>
      </w:r>
      <w:r>
        <w:rPr>
          <w:rFonts w:ascii="宋体" w:eastAsia="宋体" w:hAnsi="宋体" w:cs="宋体"/>
        </w:rPr>
        <w:t>目前在整个行业中已经占据了举足轻重的地位，业内较为笼统的说法是占据了</w:t>
      </w:r>
      <w:r>
        <w:rPr>
          <w:rFonts w:hAnsi="Times New Roman"/>
          <w:lang w:val="en-US"/>
        </w:rPr>
        <w:t>“</w:t>
      </w:r>
      <w:r>
        <w:rPr>
          <w:rFonts w:ascii="宋体" w:eastAsia="宋体" w:hAnsi="宋体" w:cs="宋体"/>
        </w:rPr>
        <w:t>半壁江山</w:t>
      </w:r>
      <w:r>
        <w:rPr>
          <w:rFonts w:hAnsi="Times New Roman"/>
          <w:lang w:val="en-US"/>
        </w:rPr>
        <w:t>”</w:t>
      </w:r>
      <w:r>
        <w:rPr>
          <w:rFonts w:ascii="宋体" w:eastAsia="宋体" w:hAnsi="宋体" w:cs="宋体"/>
        </w:rPr>
        <w:t>。根据新闻出版总署发布的产业报告来看，近几年民营文化企业在出版业数量占比均在</w:t>
      </w:r>
      <w:r>
        <w:rPr>
          <w:rFonts w:ascii="Times New Roman"/>
          <w:lang w:val="en-US"/>
        </w:rPr>
        <w:t>80%</w:t>
      </w:r>
      <w:r>
        <w:rPr>
          <w:rFonts w:ascii="宋体" w:eastAsia="宋体" w:hAnsi="宋体" w:cs="宋体"/>
        </w:rPr>
        <w:t>以上，地域上明显集中在北京，出版领域方面对教育出版、大众出版及专业出版都有涉及，但主要集中在教育和大众出版领域。</w:t>
      </w:r>
    </w:p>
    <w:p w:rsidR="003A5CE8" w:rsidRDefault="007038D7">
      <w:pPr>
        <w:pStyle w:val="A5"/>
        <w:ind w:firstLine="480"/>
        <w:rPr>
          <w:rFonts w:ascii="宋体" w:eastAsia="宋体" w:hAnsi="宋体" w:cs="宋体"/>
        </w:rPr>
      </w:pPr>
      <w:r>
        <w:rPr>
          <w:rFonts w:ascii="宋体" w:eastAsia="宋体" w:hAnsi="宋体" w:cs="宋体"/>
        </w:rPr>
        <w:t>中国的民营出版，主要包括三个方面</w:t>
      </w:r>
      <w:r>
        <w:rPr>
          <w:rFonts w:hAnsi="Times New Roman"/>
          <w:lang w:val="en-US"/>
        </w:rPr>
        <w:t>——</w:t>
      </w:r>
      <w:r>
        <w:rPr>
          <w:rFonts w:ascii="宋体" w:eastAsia="宋体" w:hAnsi="宋体" w:cs="宋体"/>
        </w:rPr>
        <w:t>出版物的选题策划、编辑，出版物的印刷复制，出版物的分销。新中国成立初期，民营资本是可以进入编辑、出版、发行等所有出版领域的，然而在</w:t>
      </w:r>
      <w:r>
        <w:rPr>
          <w:rFonts w:ascii="Times New Roman"/>
          <w:lang w:val="en-US"/>
        </w:rPr>
        <w:t>1956</w:t>
      </w:r>
      <w:r>
        <w:rPr>
          <w:rFonts w:ascii="宋体" w:eastAsia="宋体" w:hAnsi="宋体" w:cs="宋体"/>
        </w:rPr>
        <w:t>年到</w:t>
      </w:r>
      <w:r>
        <w:rPr>
          <w:rFonts w:ascii="Times New Roman"/>
          <w:lang w:val="en-US"/>
        </w:rPr>
        <w:t>1978</w:t>
      </w:r>
      <w:r>
        <w:rPr>
          <w:rFonts w:ascii="宋体" w:eastAsia="宋体" w:hAnsi="宋体" w:cs="宋体"/>
        </w:rPr>
        <w:t>年二十多年漫长的时间里，民营资本被禁入。</w:t>
      </w:r>
      <w:r>
        <w:rPr>
          <w:rFonts w:ascii="Times New Roman"/>
          <w:lang w:val="en-US"/>
        </w:rPr>
        <w:t>1978</w:t>
      </w:r>
      <w:r>
        <w:rPr>
          <w:rFonts w:ascii="宋体" w:eastAsia="宋体" w:hAnsi="宋体" w:cs="宋体"/>
        </w:rPr>
        <w:t>年起，随着改革开放的深入，民营资本逐渐回归，虽然经历了30多年的改革，目前出版业的民营机构仍无法获得出版权，只能从事图书策划，发行销售等工作。因此，民营文化传媒机构，只能凭借自己丰富策划经验，销售渠道和珍贵的版权资源吸引国有单位，通过挂靠出版社、项目合作或资本整合的方式，与国有单位合作，才能完成出版发行工作。也正因如此，版权资源、策划能力和分销渠道，也成为了民营文化传媒企业尽力追求的核心竞争力。</w:t>
      </w: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7038D7">
      <w:pPr>
        <w:pStyle w:val="A5"/>
        <w:ind w:firstLine="480"/>
      </w:pPr>
      <w:r>
        <w:rPr>
          <w:noProof/>
          <w:lang w:val="en-US" w:eastAsia="zh-CN"/>
        </w:rPr>
        <mc:AlternateContent>
          <mc:Choice Requires="wpg">
            <w:drawing>
              <wp:inline distT="0" distB="0" distL="0" distR="0">
                <wp:extent cx="5341362" cy="1913214"/>
                <wp:effectExtent l="0" t="0" r="0" b="0"/>
                <wp:docPr id="1073741836" name="officeArt object"/>
                <wp:cNvGraphicFramePr/>
                <a:graphic xmlns:a="http://schemas.openxmlformats.org/drawingml/2006/main">
                  <a:graphicData uri="http://schemas.microsoft.com/office/word/2010/wordprocessingGroup">
                    <wpg:wgp>
                      <wpg:cNvGrpSpPr/>
                      <wpg:grpSpPr>
                        <a:xfrm>
                          <a:off x="0" y="0"/>
                          <a:ext cx="5341362" cy="1913214"/>
                          <a:chOff x="-2" y="0"/>
                          <a:chExt cx="5341361" cy="1913213"/>
                        </a:xfrm>
                      </wpg:grpSpPr>
                      <wpg:grpSp>
                        <wpg:cNvPr id="1073741827" name="Group 1073741827"/>
                        <wpg:cNvGrpSpPr/>
                        <wpg:grpSpPr>
                          <a:xfrm>
                            <a:off x="-3" y="0"/>
                            <a:ext cx="1376652" cy="1913214"/>
                            <a:chOff x="-1" y="0"/>
                            <a:chExt cx="1376651" cy="1913213"/>
                          </a:xfrm>
                        </wpg:grpSpPr>
                        <wps:wsp>
                          <wps:cNvPr id="1073741825" name="Shape 1073741825"/>
                          <wps:cNvSpPr/>
                          <wps:spPr>
                            <a:xfrm>
                              <a:off x="-2" y="0"/>
                              <a:ext cx="1376652" cy="1913214"/>
                            </a:xfrm>
                            <a:prstGeom prst="roundRect">
                              <a:avLst>
                                <a:gd name="adj" fmla="val 7500"/>
                              </a:avLst>
                            </a:prstGeom>
                            <a:gradFill flip="none" rotWithShape="1">
                              <a:gsLst>
                                <a:gs pos="0">
                                  <a:srgbClr val="2E5E97"/>
                                </a:gs>
                                <a:gs pos="80000">
                                  <a:srgbClr val="3C7BC7"/>
                                </a:gs>
                                <a:gs pos="100000">
                                  <a:srgbClr val="3A7CCA"/>
                                </a:gs>
                              </a:gsLst>
                              <a:lin ang="16200000" scaled="0"/>
                            </a:gradFill>
                            <a:ln w="12700" cap="flat">
                              <a:noFill/>
                              <a:miter lim="400000"/>
                            </a:ln>
                            <a:effectLst>
                              <a:outerShdw blurRad="38100" dist="23000" dir="5400000" rotWithShape="0">
                                <a:srgbClr val="000000">
                                  <a:alpha val="35000"/>
                                </a:srgbClr>
                              </a:outerShdw>
                            </a:effectLst>
                          </wps:spPr>
                          <wps:bodyPr/>
                        </wps:wsp>
                        <wps:wsp>
                          <wps:cNvPr id="1073741826" name="Shape 1073741826"/>
                          <wps:cNvSpPr/>
                          <wps:spPr>
                            <a:xfrm>
                              <a:off x="22655" y="41983"/>
                              <a:ext cx="1331335" cy="1829246"/>
                            </a:xfrm>
                            <a:prstGeom prst="rect">
                              <a:avLst/>
                            </a:prstGeom>
                            <a:noFill/>
                            <a:ln w="12700" cap="flat">
                              <a:noFill/>
                              <a:miter lim="400000"/>
                            </a:ln>
                            <a:effectLst/>
                          </wps:spPr>
                          <wps:txbx>
                            <w:txbxContent>
                              <w:p w:rsidR="003A5CE8" w:rsidRDefault="007038D7">
                                <w:pPr>
                                  <w:pStyle w:val="AA"/>
                                  <w:tabs>
                                    <w:tab w:val="left" w:pos="1440"/>
                                  </w:tabs>
                                  <w:suppressAutoHyphens/>
                                  <w:jc w:val="center"/>
                                  <w:outlineLvl w:val="0"/>
                                  <w:rPr>
                                    <w:rFonts w:ascii="Calibri" w:eastAsia="Calibri" w:hAnsi="Calibri" w:cs="Calibri" w:hint="default"/>
                                    <w:color w:val="FFFFFF"/>
                                    <w:sz w:val="33"/>
                                    <w:szCs w:val="33"/>
                                    <w:u w:color="FFFFFF"/>
                                  </w:rPr>
                                </w:pPr>
                                <w:r>
                                  <w:rPr>
                                    <w:rFonts w:eastAsia="Helvetica"/>
                                    <w:color w:val="FFFFFF"/>
                                    <w:sz w:val="33"/>
                                    <w:szCs w:val="33"/>
                                    <w:u w:color="FFFFFF"/>
                                  </w:rPr>
                                  <w:t>编辑</w:t>
                                </w:r>
                              </w:p>
                              <w:p w:rsidR="003A5CE8" w:rsidRDefault="007038D7">
                                <w:pPr>
                                  <w:pStyle w:val="AA"/>
                                  <w:numPr>
                                    <w:ilvl w:val="0"/>
                                    <w:numId w:val="3"/>
                                  </w:numPr>
                                  <w:tabs>
                                    <w:tab w:val="clear" w:pos="197"/>
                                    <w:tab w:val="num" w:pos="217"/>
                                    <w:tab w:val="left" w:pos="325"/>
                                    <w:tab w:val="left" w:pos="1440"/>
                                  </w:tabs>
                                  <w:suppressAutoHyphens/>
                                  <w:ind w:left="217" w:hanging="217"/>
                                  <w:outlineLvl w:val="0"/>
                                  <w:rPr>
                                    <w:rFonts w:ascii="Trebuchet MS" w:eastAsia="Trebuchet MS" w:hAnsi="Trebuchet MS" w:cs="Trebuchet MS" w:hint="default"/>
                                    <w:color w:val="FFFFFF"/>
                                  </w:rPr>
                                </w:pPr>
                                <w:r>
                                  <w:rPr>
                                    <w:rFonts w:eastAsia="Helvetica"/>
                                    <w:color w:val="FFFFFF"/>
                                    <w:sz w:val="20"/>
                                    <w:szCs w:val="20"/>
                                    <w:u w:color="FFFFFF"/>
                                  </w:rPr>
                                  <w:t>此环节中民营文化传媒机构可利用版权资源与策划经验等从事图书选题策划、装帧设计等活动，此环节为民营出版业主要业务阵地。</w:t>
                                </w:r>
                              </w:p>
                            </w:txbxContent>
                          </wps:txbx>
                          <wps:bodyPr wrap="square" lIns="45718" tIns="45718" rIns="45718" bIns="45718" numCol="1" anchor="t">
                            <a:noAutofit/>
                          </wps:bodyPr>
                        </wps:wsp>
                      </wpg:grpSp>
                      <wps:wsp>
                        <wps:cNvPr id="1073741828" name="Shape 1073741828"/>
                        <wps:cNvSpPr/>
                        <wps:spPr>
                          <a:xfrm>
                            <a:off x="1528071" y="675995"/>
                            <a:ext cx="302866" cy="561216"/>
                          </a:xfrm>
                          <a:prstGeom prst="rightArrow">
                            <a:avLst>
                              <a:gd name="adj1" fmla="val 64000"/>
                              <a:gd name="adj2" fmla="val 50000"/>
                            </a:avLst>
                          </a:prstGeom>
                          <a:gradFill flip="none" rotWithShape="1">
                            <a:gsLst>
                              <a:gs pos="0">
                                <a:srgbClr val="B1C0DA"/>
                              </a:gs>
                              <a:gs pos="80000">
                                <a:srgbClr val="B1C0DA"/>
                              </a:gs>
                              <a:gs pos="100000">
                                <a:srgbClr val="B1C0DA"/>
                              </a:gs>
                            </a:gsLst>
                            <a:lin ang="16200000" scaled="0"/>
                          </a:gradFill>
                          <a:ln w="12700" cap="flat">
                            <a:noFill/>
                            <a:miter lim="400000"/>
                          </a:ln>
                          <a:effectLst>
                            <a:outerShdw blurRad="38100" dist="23000" dir="5400000" rotWithShape="0">
                              <a:srgbClr val="000000">
                                <a:alpha val="35000"/>
                              </a:srgbClr>
                            </a:outerShdw>
                          </a:effectLst>
                        </wps:spPr>
                        <wps:bodyPr/>
                      </wps:wsp>
                      <wpg:grpSp>
                        <wpg:cNvPr id="1073741831" name="Group 1073741831"/>
                        <wpg:cNvGrpSpPr/>
                        <wpg:grpSpPr>
                          <a:xfrm>
                            <a:off x="1982356" y="0"/>
                            <a:ext cx="1376647" cy="1913214"/>
                            <a:chOff x="-1" y="0"/>
                            <a:chExt cx="1376646" cy="1913213"/>
                          </a:xfrm>
                        </wpg:grpSpPr>
                        <wps:wsp>
                          <wps:cNvPr id="1073741829" name="Shape 1073741829"/>
                          <wps:cNvSpPr/>
                          <wps:spPr>
                            <a:xfrm>
                              <a:off x="-2" y="0"/>
                              <a:ext cx="1376648" cy="1913214"/>
                            </a:xfrm>
                            <a:prstGeom prst="roundRect">
                              <a:avLst>
                                <a:gd name="adj" fmla="val 50000"/>
                              </a:avLst>
                            </a:prstGeom>
                            <a:gradFill flip="none" rotWithShape="1">
                              <a:gsLst>
                                <a:gs pos="0">
                                  <a:srgbClr val="2E5E97"/>
                                </a:gs>
                                <a:gs pos="80000">
                                  <a:srgbClr val="3C7BC7"/>
                                </a:gs>
                                <a:gs pos="100000">
                                  <a:srgbClr val="3A7CCA"/>
                                </a:gs>
                              </a:gsLst>
                              <a:lin ang="16200000" scaled="0"/>
                            </a:gradFill>
                            <a:ln w="12700" cap="flat">
                              <a:noFill/>
                              <a:miter lim="400000"/>
                            </a:ln>
                            <a:effectLst>
                              <a:outerShdw blurRad="38100" dist="23000" dir="5400000" rotWithShape="0">
                                <a:srgbClr val="000000">
                                  <a:alpha val="35000"/>
                                </a:srgbClr>
                              </a:outerShdw>
                            </a:effectLst>
                          </wps:spPr>
                          <wps:bodyPr/>
                        </wps:wsp>
                        <wps:wsp>
                          <wps:cNvPr id="1073741830" name="Shape 1073741830"/>
                          <wps:cNvSpPr/>
                          <wps:spPr>
                            <a:xfrm>
                              <a:off x="22656" y="41983"/>
                              <a:ext cx="1331333" cy="1829246"/>
                            </a:xfrm>
                            <a:prstGeom prst="rect">
                              <a:avLst/>
                            </a:prstGeom>
                            <a:noFill/>
                            <a:ln w="12700" cap="flat">
                              <a:noFill/>
                              <a:miter lim="400000"/>
                            </a:ln>
                            <a:effectLst/>
                          </wps:spPr>
                          <wps:txbx>
                            <w:txbxContent>
                              <w:p w:rsidR="003A5CE8" w:rsidRDefault="007038D7">
                                <w:pPr>
                                  <w:pStyle w:val="AA"/>
                                  <w:tabs>
                                    <w:tab w:val="left" w:pos="1440"/>
                                  </w:tabs>
                                  <w:suppressAutoHyphens/>
                                  <w:jc w:val="center"/>
                                  <w:outlineLvl w:val="0"/>
                                  <w:rPr>
                                    <w:rFonts w:ascii="Calibri" w:eastAsia="Calibri" w:hAnsi="Calibri" w:cs="Calibri" w:hint="default"/>
                                    <w:color w:val="FFFFFF"/>
                                    <w:sz w:val="33"/>
                                    <w:szCs w:val="33"/>
                                    <w:u w:color="FFFFFF"/>
                                  </w:rPr>
                                </w:pPr>
                                <w:r>
                                  <w:rPr>
                                    <w:rFonts w:eastAsia="Helvetica"/>
                                    <w:color w:val="FFFFFF"/>
                                    <w:sz w:val="33"/>
                                    <w:szCs w:val="33"/>
                                    <w:u w:color="FFFFFF"/>
                                  </w:rPr>
                                  <w:t>出版</w:t>
                                </w:r>
                              </w:p>
                              <w:p w:rsidR="003A5CE8" w:rsidRDefault="007038D7">
                                <w:pPr>
                                  <w:pStyle w:val="AA"/>
                                  <w:numPr>
                                    <w:ilvl w:val="0"/>
                                    <w:numId w:val="6"/>
                                  </w:numPr>
                                  <w:tabs>
                                    <w:tab w:val="clear" w:pos="197"/>
                                    <w:tab w:val="num" w:pos="217"/>
                                    <w:tab w:val="left" w:pos="325"/>
                                    <w:tab w:val="left" w:pos="1440"/>
                                  </w:tabs>
                                  <w:suppressAutoHyphens/>
                                  <w:ind w:left="217" w:hanging="217"/>
                                  <w:outlineLvl w:val="0"/>
                                  <w:rPr>
                                    <w:rFonts w:ascii="Trebuchet MS" w:eastAsia="Trebuchet MS" w:hAnsi="Trebuchet MS" w:cs="Trebuchet MS" w:hint="default"/>
                                    <w:color w:val="FFFFFF"/>
                                  </w:rPr>
                                </w:pPr>
                                <w:r>
                                  <w:rPr>
                                    <w:rFonts w:eastAsia="Helvetica"/>
                                    <w:color w:val="FFFFFF"/>
                                    <w:sz w:val="20"/>
                                    <w:szCs w:val="20"/>
                                    <w:u w:color="FFFFFF"/>
                                  </w:rPr>
                                  <w:t>出版环节与书号、刊号直接挂钩，目前只有公有性质出版社有资格申请书号、刊号，民营文化传媒机构必须与出版社合作，以出版社名义出版。</w:t>
                                </w:r>
                              </w:p>
                            </w:txbxContent>
                          </wps:txbx>
                          <wps:bodyPr wrap="square" lIns="45718" tIns="45718" rIns="45718" bIns="45718" numCol="1" anchor="t">
                            <a:noAutofit/>
                          </wps:bodyPr>
                        </wps:wsp>
                      </wpg:grpSp>
                      <wps:wsp>
                        <wps:cNvPr id="1073741832" name="Shape 1073741832"/>
                        <wps:cNvSpPr/>
                        <wps:spPr>
                          <a:xfrm>
                            <a:off x="3510423" y="675995"/>
                            <a:ext cx="302866" cy="561216"/>
                          </a:xfrm>
                          <a:prstGeom prst="rightArrow">
                            <a:avLst>
                              <a:gd name="adj1" fmla="val 64000"/>
                              <a:gd name="adj2" fmla="val 50000"/>
                            </a:avLst>
                          </a:prstGeom>
                          <a:gradFill flip="none" rotWithShape="1">
                            <a:gsLst>
                              <a:gs pos="0">
                                <a:srgbClr val="B1C0DA"/>
                              </a:gs>
                              <a:gs pos="80000">
                                <a:srgbClr val="B1C0DA"/>
                              </a:gs>
                              <a:gs pos="100000">
                                <a:srgbClr val="B1C0DA"/>
                              </a:gs>
                            </a:gsLst>
                            <a:lin ang="16200000" scaled="0"/>
                          </a:gradFill>
                          <a:ln w="12700" cap="flat">
                            <a:noFill/>
                            <a:miter lim="400000"/>
                          </a:ln>
                          <a:effectLst>
                            <a:outerShdw blurRad="38100" dist="23000" dir="5400000" rotWithShape="0">
                              <a:srgbClr val="000000">
                                <a:alpha val="35000"/>
                              </a:srgbClr>
                            </a:outerShdw>
                          </a:effectLst>
                        </wps:spPr>
                        <wps:bodyPr/>
                      </wps:wsp>
                      <wpg:grpSp>
                        <wpg:cNvPr id="1073741835" name="Group 1073741835"/>
                        <wpg:cNvGrpSpPr/>
                        <wpg:grpSpPr>
                          <a:xfrm>
                            <a:off x="3964708" y="0"/>
                            <a:ext cx="1376651" cy="1913214"/>
                            <a:chOff x="-1" y="0"/>
                            <a:chExt cx="1376650" cy="1913213"/>
                          </a:xfrm>
                        </wpg:grpSpPr>
                        <wps:wsp>
                          <wps:cNvPr id="1073741833" name="Shape 1073741833"/>
                          <wps:cNvSpPr/>
                          <wps:spPr>
                            <a:xfrm>
                              <a:off x="-2" y="0"/>
                              <a:ext cx="1376652" cy="1913214"/>
                            </a:xfrm>
                            <a:prstGeom prst="roundRect">
                              <a:avLst>
                                <a:gd name="adj" fmla="val 50000"/>
                              </a:avLst>
                            </a:prstGeom>
                            <a:gradFill flip="none" rotWithShape="1">
                              <a:gsLst>
                                <a:gs pos="0">
                                  <a:srgbClr val="2E5E97"/>
                                </a:gs>
                                <a:gs pos="80000">
                                  <a:srgbClr val="3C7BC7"/>
                                </a:gs>
                                <a:gs pos="100000">
                                  <a:srgbClr val="3A7CCA"/>
                                </a:gs>
                              </a:gsLst>
                              <a:lin ang="16200000" scaled="0"/>
                            </a:gradFill>
                            <a:ln w="12700" cap="flat">
                              <a:noFill/>
                              <a:miter lim="400000"/>
                            </a:ln>
                            <a:effectLst>
                              <a:outerShdw blurRad="38100" dist="23000" dir="5400000" rotWithShape="0">
                                <a:srgbClr val="000000">
                                  <a:alpha val="35000"/>
                                </a:srgbClr>
                              </a:outerShdw>
                            </a:effectLst>
                          </wps:spPr>
                          <wps:bodyPr/>
                        </wps:wsp>
                        <wps:wsp>
                          <wps:cNvPr id="1073741834" name="Shape 1073741834"/>
                          <wps:cNvSpPr/>
                          <wps:spPr>
                            <a:xfrm>
                              <a:off x="22656" y="41983"/>
                              <a:ext cx="1331336" cy="1829246"/>
                            </a:xfrm>
                            <a:prstGeom prst="rect">
                              <a:avLst/>
                            </a:prstGeom>
                            <a:noFill/>
                            <a:ln w="12700" cap="flat">
                              <a:noFill/>
                              <a:miter lim="400000"/>
                            </a:ln>
                            <a:effectLst/>
                          </wps:spPr>
                          <wps:txbx>
                            <w:txbxContent>
                              <w:p w:rsidR="003A5CE8" w:rsidRDefault="007038D7">
                                <w:pPr>
                                  <w:pStyle w:val="AA"/>
                                  <w:tabs>
                                    <w:tab w:val="left" w:pos="1440"/>
                                  </w:tabs>
                                  <w:suppressAutoHyphens/>
                                  <w:jc w:val="center"/>
                                  <w:outlineLvl w:val="0"/>
                                  <w:rPr>
                                    <w:rFonts w:ascii="Calibri" w:eastAsia="Calibri" w:hAnsi="Calibri" w:cs="Calibri" w:hint="default"/>
                                    <w:color w:val="FFFFFF"/>
                                    <w:sz w:val="33"/>
                                    <w:szCs w:val="33"/>
                                    <w:u w:color="FFFFFF"/>
                                  </w:rPr>
                                </w:pPr>
                                <w:r>
                                  <w:rPr>
                                    <w:rFonts w:eastAsia="Helvetica"/>
                                    <w:color w:val="FFFFFF"/>
                                    <w:sz w:val="33"/>
                                    <w:szCs w:val="33"/>
                                    <w:u w:color="FFFFFF"/>
                                  </w:rPr>
                                  <w:t>发行</w:t>
                                </w:r>
                              </w:p>
                              <w:p w:rsidR="003A5CE8" w:rsidRDefault="007038D7">
                                <w:pPr>
                                  <w:pStyle w:val="AA"/>
                                  <w:numPr>
                                    <w:ilvl w:val="0"/>
                                    <w:numId w:val="9"/>
                                  </w:numPr>
                                  <w:tabs>
                                    <w:tab w:val="clear" w:pos="197"/>
                                    <w:tab w:val="num" w:pos="217"/>
                                    <w:tab w:val="left" w:pos="325"/>
                                    <w:tab w:val="left" w:pos="1440"/>
                                  </w:tabs>
                                  <w:suppressAutoHyphens/>
                                  <w:ind w:left="217" w:hanging="217"/>
                                  <w:outlineLvl w:val="0"/>
                                  <w:rPr>
                                    <w:rFonts w:ascii="Trebuchet MS" w:eastAsia="Trebuchet MS" w:hAnsi="Trebuchet MS" w:cs="Trebuchet MS" w:hint="default"/>
                                    <w:color w:val="FFFFFF"/>
                                  </w:rPr>
                                </w:pPr>
                                <w:r>
                                  <w:rPr>
                                    <w:rFonts w:eastAsia="Helvetica"/>
                                    <w:color w:val="FFFFFF"/>
                                    <w:sz w:val="20"/>
                                    <w:szCs w:val="20"/>
                                    <w:u w:color="FFFFFF"/>
                                  </w:rPr>
                                  <w:t>在发行环节中，民营文化传媒机构可自主从事印刷、销售等活动，充分发挥其渠道资源。相对于出版环节，发行环节利润较低。</w:t>
                                </w:r>
                              </w:p>
                            </w:txbxContent>
                          </wps:txbx>
                          <wps:bodyPr wrap="square" lIns="45718" tIns="45718" rIns="45718" bIns="45718" numCol="1" anchor="t">
                            <a:noAutofit/>
                          </wps:bodyPr>
                        </wps:wsp>
                      </wpg:grpSp>
                    </wpg:wgp>
                  </a:graphicData>
                </a:graphic>
              </wp:inline>
            </w:drawing>
          </mc:Choice>
          <mc:Fallback>
            <w:pict>
              <v:group id="officeArt object" o:spid="_x0000_s1026" style="width:420.6pt;height:150.65pt;mso-position-horizontal-relative:char;mso-position-vertical-relative:line" coordorigin="" coordsize="53413,19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">
                <v:group id="Group 1073741827" o:spid="_x0000_s1027" style="position:absolute;width:13766;height:19132" coordorigin="" coordsize="13766,19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Nhya0fIAAAA&#10;4wAAAA8AAAAAAAAAAAAAAAAAqgIAAGRycy9kb3ducmV2LnhtbFBLBQYAAAAABAAEAPoAAACfAwAA&#10;AAA=&#10;">
                  <v:roundrect id="Shape 1073741825" o:spid="_x0000_s1028" style="position:absolute;width:13766;height:19132;visibility:visible;mso-wrap-style:square;v-text-anchor:top" arcsize="491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GyvskA&#10;AADjAAAADwAAAGRycy9kb3ducmV2LnhtbERPS0sDMRC+C/6HMEJvNtutfbA2LUVaKngoth48jptx&#10;d3EzWZN0H/++KQge53vPatObWrTkfGVZwWScgCDOra64UPBx3j8uQfiArLG2TAoG8rBZ39+tMNO2&#10;43dqT6EQMYR9hgrKEJpMSp+XZNCPbUMcuW/rDIZ4ukJqh10MN7VMk2QuDVYcG0ps6KWk/Od0MQpm&#10;26/fz6Fturfd8Zzq1vEwzA9KjR767TOIQH34F/+5X3Wcnyymi6fJMp3B7acIgFxf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LGyvskAAADjAAAADwAAAAAAAAAAAAAAAACYAgAA&#10;ZHJzL2Rvd25yZXYueG1sUEsFBgAAAAAEAAQA9QAAAI4DAAAAAA==&#10;" fillcolor="#2e5e97" stroked="f" strokeweight="1pt">
                    <v:fill color2="#3a7cca" rotate="t" angle="180" colors="0 #2e5e97;52429f #3c7bc7;1 #3a7cca" focus="100%" type="gradient">
                      <o:fill v:ext="view" type="gradientUnscaled"/>
                    </v:fill>
                    <v:stroke miterlimit="4" joinstyle="miter"/>
                    <v:shadow on="t" color="black" opacity="22937f" origin=",.5" offset="0,.63889mm"/>
                  </v:roundrect>
                  <v:rect id="Shape 1073741826" o:spid="_x0000_s1029" style="position:absolute;left:226;top:419;width:13313;height:18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Bt7MYA&#10;AADjAAAADwAAAGRycy9kb3ducmV2LnhtbERPX2vCMBB/H+w7hBv4NlN1aKlGEVEQBpNWP8DR3Jqy&#10;5lKSqHWffhkM9ni//7faDLYTN/KhdaxgMs5AENdOt9wouJwPrzmIEJE1do5JwYMCbNbPTysstLtz&#10;SbcqNiKFcChQgYmxL6QMtSGLYex64sR9Om8xptM3Unu8p3DbyWmWzaXFllODwZ52huqv6moV7C/u&#10;9H6YfXzn5+Dwamx5qnyp1Ohl2C5BRBriv/jPfdRpfraYLd4m+XQOvz8lA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Bt7MYAAADjAAAADwAAAAAAAAAAAAAAAACYAgAAZHJz&#10;L2Rvd25yZXYueG1sUEsFBgAAAAAEAAQA9QAAAIsDAAAAAA==&#10;" filled="f" stroked="f" strokeweight="1pt">
                    <v:stroke miterlimit="4"/>
                    <v:textbox inset="1.2699mm,1.2699mm,1.2699mm,1.2699mm">
                      <w:txbxContent>
                        <w:p w:rsidR="003A5CE8" w:rsidRDefault="007038D7">
                          <w:pPr>
                            <w:pStyle w:val="AA"/>
                            <w:tabs>
                              <w:tab w:val="left" w:pos="1440"/>
                            </w:tabs>
                            <w:suppressAutoHyphens/>
                            <w:jc w:val="center"/>
                            <w:outlineLvl w:val="0"/>
                            <w:rPr>
                              <w:rFonts w:ascii="Calibri" w:eastAsia="Calibri" w:hAnsi="Calibri" w:cs="Calibri" w:hint="default"/>
                              <w:color w:val="FFFFFF"/>
                              <w:sz w:val="33"/>
                              <w:szCs w:val="33"/>
                              <w:u w:color="FFFFFF"/>
                            </w:rPr>
                          </w:pPr>
                          <w:r>
                            <w:rPr>
                              <w:rFonts w:eastAsia="Helvetica"/>
                              <w:color w:val="FFFFFF"/>
                              <w:sz w:val="33"/>
                              <w:szCs w:val="33"/>
                              <w:u w:color="FFFFFF"/>
                            </w:rPr>
                            <w:t>编辑</w:t>
                          </w:r>
                        </w:p>
                        <w:p w:rsidR="003A5CE8" w:rsidRDefault="007038D7">
                          <w:pPr>
                            <w:pStyle w:val="AA"/>
                            <w:numPr>
                              <w:ilvl w:val="0"/>
                              <w:numId w:val="3"/>
                            </w:numPr>
                            <w:tabs>
                              <w:tab w:val="clear" w:pos="197"/>
                              <w:tab w:val="num" w:pos="217"/>
                              <w:tab w:val="left" w:pos="325"/>
                              <w:tab w:val="left" w:pos="1440"/>
                            </w:tabs>
                            <w:suppressAutoHyphens/>
                            <w:ind w:left="217" w:hanging="217"/>
                            <w:outlineLvl w:val="0"/>
                            <w:rPr>
                              <w:rFonts w:ascii="Trebuchet MS" w:eastAsia="Trebuchet MS" w:hAnsi="Trebuchet MS" w:cs="Trebuchet MS" w:hint="default"/>
                              <w:color w:val="FFFFFF"/>
                            </w:rPr>
                          </w:pPr>
                          <w:r>
                            <w:rPr>
                              <w:rFonts w:eastAsia="Helvetica"/>
                              <w:color w:val="FFFFFF"/>
                              <w:sz w:val="20"/>
                              <w:szCs w:val="20"/>
                              <w:u w:color="FFFFFF"/>
                            </w:rPr>
                            <w:t>此环节中民营文化传媒机构可利用版权资源与策划经验等从事图书选题策划、装帧设计等活动，此环节为民营出版业主要业务阵地。</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1073741828" o:spid="_x0000_s1030" type="#_x0000_t13" style="position:absolute;left:15280;top:6759;width:3029;height:5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tiyMoA&#10;AADjAAAADwAAAGRycy9kb3ducmV2LnhtbESPQUsDMRCF74L/IYzgzSbbFbddmxYRK+JBsRa8Dpsx&#10;WdxMliR2139vDoLHmffmvW82u9kP4kQx9YE1VAsFgrgLpmer4fi+v1qBSBnZ4BCYNPxQgt32/GyD&#10;rQkTv9HpkK0oIZxa1OByHlspU+fIY1qEkbhonyF6zGWMVpqIUwn3g1wqdSM99lwaHI5076j7Onx7&#10;Dc1HzQ+qZrevXu365XF6ti6i1pcX890tiExz/jf/XT+Zgq+aurmuVssCXX4qC5Db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rrYsjKAAAA4wAAAA8AAAAAAAAAAAAAAAAAmAIA&#10;AGRycy9kb3ducmV2LnhtbFBLBQYAAAAABAAEAPUAAACPAwAAAAA=&#10;" adj="10800,3888" fillcolor="#b1c0da" stroked="f" strokeweight="1pt">
                  <v:fill color2="#b1c0da" rotate="t" angle="180" focus="80%" type="gradient">
                    <o:fill v:ext="view" type="gradientUnscaled"/>
                  </v:fill>
                  <v:stroke miterlimit="4"/>
                  <v:shadow on="t" color="black" opacity="22937f" origin=",.5" offset="0,.63889mm"/>
                </v:shape>
                <v:group id="Group 1073741831" o:spid="_x0000_s1031" style="position:absolute;left:19823;width:13767;height:19132" coordorigin="" coordsize="13766,19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L0OwHXIAAAA&#10;4wAAAA8AAAAAAAAAAAAAAAAAqgIAAGRycy9kb3ducmV2LnhtbFBLBQYAAAAABAAEAPoAAACfAwAA&#10;AAA=&#10;">
                  <v:roundrect id="Shape 1073741829" o:spid="_x0000_s1032" style="position:absolute;width:13766;height:1913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aPssA&#10;AADjAAAADwAAAGRycy9kb3ducmV2LnhtbESPQUsDMRCF70L/Q5iCN5u0irtdm5ZSsBS8aPXQ3obN&#10;uLt0M1mS2I3/3giCx5n35n1vVptke3ElHzrHGuYzBYK4dqbjRsPH+/NdCSJEZIO9Y9LwTQE268nN&#10;CivjRn6j6zE2IodwqFBDG+NQSRnqliyGmRuIs/bpvMWYR99I43HM4baXC6UepcWOM6HFgXYt1Zfj&#10;l80QHi9L/2rHfWleUqHO7rRPB61vp2n7BCJSiv/mv+uDyfVVcV88zMvFEn5/yguQ6x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uT5o+ywAAAOMAAAAPAAAAAAAAAAAAAAAAAJgC&#10;AABkcnMvZG93bnJldi54bWxQSwUGAAAAAAQABAD1AAAAkAMAAAAA&#10;" fillcolor="#2e5e97" stroked="f" strokeweight="1pt">
                    <v:fill color2="#3a7cca" rotate="t" angle="180" colors="0 #2e5e97;52429f #3c7bc7;1 #3a7cca" focus="100%" type="gradient">
                      <o:fill v:ext="view" type="gradientUnscaled"/>
                    </v:fill>
                    <v:stroke miterlimit="4" joinstyle="miter"/>
                    <v:shadow on="t" color="black" opacity="22937f" origin=",.5" offset="0,.63889mm"/>
                  </v:roundrect>
                  <v:rect id="Shape 1073741830" o:spid="_x0000_s1033" style="position:absolute;left:226;top:419;width:13313;height:18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zG3soA&#10;AADjAAAADwAAAGRycy9kb3ducmV2LnhtbESP0UrDQBBF3wX/YRnBN7upERtit0XEgiBYkvYDhuyY&#10;DWZnw+62jX698yD4ODN37r1nvZ39qM4U0xDYwHJRgCLugh24N3A87O4qUCkjWxwDk4FvSrDdXF+t&#10;sbbhwg2d29wrMeFUowGX81RrnTpHHtMiTMRy+wzRY5Yx9tpGvIi5H/V9UTxqjwNLgsOJXhx1X+3J&#10;G3g9hv37rvz4qQ4p4Mn5Zt/Gxpjbm/n5CVSmOf+L/77frNQvVuXqYVmVQiFMsgC9+Q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Lq8xt7KAAAA4wAAAA8AAAAAAAAAAAAAAAAAmAIA&#10;AGRycy9kb3ducmV2LnhtbFBLBQYAAAAABAAEAPUAAACPAwAAAAA=&#10;" filled="f" stroked="f" strokeweight="1pt">
                    <v:stroke miterlimit="4"/>
                    <v:textbox inset="1.2699mm,1.2699mm,1.2699mm,1.2699mm">
                      <w:txbxContent>
                        <w:p w:rsidR="003A5CE8" w:rsidRDefault="007038D7">
                          <w:pPr>
                            <w:pStyle w:val="AA"/>
                            <w:tabs>
                              <w:tab w:val="left" w:pos="1440"/>
                            </w:tabs>
                            <w:suppressAutoHyphens/>
                            <w:jc w:val="center"/>
                            <w:outlineLvl w:val="0"/>
                            <w:rPr>
                              <w:rFonts w:ascii="Calibri" w:eastAsia="Calibri" w:hAnsi="Calibri" w:cs="Calibri" w:hint="default"/>
                              <w:color w:val="FFFFFF"/>
                              <w:sz w:val="33"/>
                              <w:szCs w:val="33"/>
                              <w:u w:color="FFFFFF"/>
                            </w:rPr>
                          </w:pPr>
                          <w:r>
                            <w:rPr>
                              <w:rFonts w:eastAsia="Helvetica"/>
                              <w:color w:val="FFFFFF"/>
                              <w:sz w:val="33"/>
                              <w:szCs w:val="33"/>
                              <w:u w:color="FFFFFF"/>
                            </w:rPr>
                            <w:t>出版</w:t>
                          </w:r>
                        </w:p>
                        <w:p w:rsidR="003A5CE8" w:rsidRDefault="007038D7">
                          <w:pPr>
                            <w:pStyle w:val="AA"/>
                            <w:numPr>
                              <w:ilvl w:val="0"/>
                              <w:numId w:val="6"/>
                            </w:numPr>
                            <w:tabs>
                              <w:tab w:val="clear" w:pos="197"/>
                              <w:tab w:val="num" w:pos="217"/>
                              <w:tab w:val="left" w:pos="325"/>
                              <w:tab w:val="left" w:pos="1440"/>
                            </w:tabs>
                            <w:suppressAutoHyphens/>
                            <w:ind w:left="217" w:hanging="217"/>
                            <w:outlineLvl w:val="0"/>
                            <w:rPr>
                              <w:rFonts w:ascii="Trebuchet MS" w:eastAsia="Trebuchet MS" w:hAnsi="Trebuchet MS" w:cs="Trebuchet MS" w:hint="default"/>
                              <w:color w:val="FFFFFF"/>
                            </w:rPr>
                          </w:pPr>
                          <w:r>
                            <w:rPr>
                              <w:rFonts w:eastAsia="Helvetica"/>
                              <w:color w:val="FFFFFF"/>
                              <w:sz w:val="20"/>
                              <w:szCs w:val="20"/>
                              <w:u w:color="FFFFFF"/>
                            </w:rPr>
                            <w:t>出版环节与书号、刊号直接挂钩，目前只有公有性质出版社有资格申请书号、刊号，民营文化传媒机构必须与出版社合作，以出版社名义出版。</w:t>
                          </w:r>
                        </w:p>
                      </w:txbxContent>
                    </v:textbox>
                  </v:rect>
                </v:group>
                <v:shape id="Shape 1073741832" o:spid="_x0000_s1034" type="#_x0000_t13" style="position:absolute;left:35104;top:6759;width:3028;height:5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rD/8YA&#10;AADjAAAADwAAAGRycy9kb3ducmV2LnhtbERPX0vDMBB/F/wO4QTfXNJV7KzLhogT8WHiFHw9mjMp&#10;NpeSxLV+eyMIPt7v/623sx/EkWLqA2uoFgoEcRdMz1bD2+vuYgUiZWSDQ2DS8E0JtpvTkzW2Jkz8&#10;QsdDtqKEcGpRg8t5bKVMnSOPaRFG4sJ9hOgxlzNaaSJOJdwPcqnUlfTYc2lwONKdo+7z8OU1NO81&#10;36ua3a56ttf7h+nJuohan5/NtzcgMs35X/znfjRlvmrq5rJa1Uv4/akA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rD/8YAAADjAAAADwAAAAAAAAAAAAAAAACYAgAAZHJz&#10;L2Rvd25yZXYueG1sUEsFBgAAAAAEAAQA9QAAAIsDAAAAAA==&#10;" adj="10800,3888" fillcolor="#b1c0da" stroked="f" strokeweight="1pt">
                  <v:fill color2="#b1c0da" rotate="t" angle="180" focus="80%" type="gradient">
                    <o:fill v:ext="view" type="gradientUnscaled"/>
                  </v:fill>
                  <v:stroke miterlimit="4"/>
                  <v:shadow on="t" color="black" opacity="22937f" origin=",.5" offset="0,.63889mm"/>
                </v:shape>
                <v:group id="Group 1073741835" o:spid="_x0000_s1035" style="position:absolute;left:39647;width:13766;height:19132" coordorigin="" coordsize="13766,19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MI1xnbIAAAA&#10;4wAAAA8AAAAAAAAAAAAAAAAAqgIAAGRycy9kb3ducmV2LnhtbFBLBQYAAAAABAAEAPoAAACfAwAA&#10;AAA=&#10;">
                  <v:roundrect id="Shape 1073741833" o:spid="_x0000_s1036" style="position:absolute;width:13766;height:1913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7CcoA&#10;AADjAAAADwAAAGRycy9kb3ducmV2LnhtbESPQUsDMRCF70L/Q5iCN5vUFXddmxYRLAUvtvWgt2Ez&#10;7i7dTJYkduO/N4LQ48x78743q02ygziTD71jDcuFAkHcONNzq+H9+HJTgQgR2eDgmDT8UIDNena1&#10;wtq4ifd0PsRW5BAONWroYhxrKUPTkcWwcCNx1r6ctxjz6FtpPE453A7yVql7abHnTOhwpOeOmtPh&#10;22YIT6cH/2anbWVeU6k+3cc27bS+nqenRxCRUryY/693JtdXZVHeLauigL+f8gLk+hc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p+OwnKAAAA4wAAAA8AAAAAAAAAAAAAAAAAmAIA&#10;AGRycy9kb3ducmV2LnhtbFBLBQYAAAAABAAEAPUAAACPAwAAAAA=&#10;" fillcolor="#2e5e97" stroked="f" strokeweight="1pt">
                    <v:fill color2="#3a7cca" rotate="t" angle="180" colors="0 #2e5e97;52429f #3c7bc7;1 #3a7cca" focus="100%" type="gradient">
                      <o:fill v:ext="view" type="gradientUnscaled"/>
                    </v:fill>
                    <v:stroke miterlimit="4" joinstyle="miter"/>
                    <v:shadow on="t" color="black" opacity="22937f" origin=",.5" offset="0,.63889mm"/>
                  </v:roundrect>
                  <v:rect id="Shape 1073741834" o:spid="_x0000_s1037" style="position:absolute;left:226;top:419;width:13313;height:18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fA3ccA&#10;AADjAAAADwAAAGRycy9kb3ducmV2LnhtbERPX2vCMBB/H/gdwgl7m6mrzNIZRcYEYTBp9QMcza0p&#10;NpeSRK379MtgsMf7/b/VZrS9uJIPnWMF81kGgrhxuuNWwem4eypAhIissXdMCu4UYLOePKyw1O7G&#10;FV3r2IoUwqFEBSbGoZQyNIYshpkbiBP35bzFmE7fSu3xlsJtL5+z7EVa7Dg1GBzozVBzri9WwfvJ&#10;HT52+ed3cQwOL8ZWh9pXSj1Ox+0riEhj/Bf/ufc6zc+W+XIxL/IF/P6UAJ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HwN3HAAAA4wAAAA8AAAAAAAAAAAAAAAAAmAIAAGRy&#10;cy9kb3ducmV2LnhtbFBLBQYAAAAABAAEAPUAAACMAwAAAAA=&#10;" filled="f" stroked="f" strokeweight="1pt">
                    <v:stroke miterlimit="4"/>
                    <v:textbox inset="1.2699mm,1.2699mm,1.2699mm,1.2699mm">
                      <w:txbxContent>
                        <w:p w:rsidR="003A5CE8" w:rsidRDefault="007038D7">
                          <w:pPr>
                            <w:pStyle w:val="AA"/>
                            <w:tabs>
                              <w:tab w:val="left" w:pos="1440"/>
                            </w:tabs>
                            <w:suppressAutoHyphens/>
                            <w:jc w:val="center"/>
                            <w:outlineLvl w:val="0"/>
                            <w:rPr>
                              <w:rFonts w:ascii="Calibri" w:eastAsia="Calibri" w:hAnsi="Calibri" w:cs="Calibri" w:hint="default"/>
                              <w:color w:val="FFFFFF"/>
                              <w:sz w:val="33"/>
                              <w:szCs w:val="33"/>
                              <w:u w:color="FFFFFF"/>
                            </w:rPr>
                          </w:pPr>
                          <w:r>
                            <w:rPr>
                              <w:rFonts w:eastAsia="Helvetica"/>
                              <w:color w:val="FFFFFF"/>
                              <w:sz w:val="33"/>
                              <w:szCs w:val="33"/>
                              <w:u w:color="FFFFFF"/>
                            </w:rPr>
                            <w:t>发行</w:t>
                          </w:r>
                        </w:p>
                        <w:p w:rsidR="003A5CE8" w:rsidRDefault="007038D7">
                          <w:pPr>
                            <w:pStyle w:val="AA"/>
                            <w:numPr>
                              <w:ilvl w:val="0"/>
                              <w:numId w:val="9"/>
                            </w:numPr>
                            <w:tabs>
                              <w:tab w:val="clear" w:pos="197"/>
                              <w:tab w:val="num" w:pos="217"/>
                              <w:tab w:val="left" w:pos="325"/>
                              <w:tab w:val="left" w:pos="1440"/>
                            </w:tabs>
                            <w:suppressAutoHyphens/>
                            <w:ind w:left="217" w:hanging="217"/>
                            <w:outlineLvl w:val="0"/>
                            <w:rPr>
                              <w:rFonts w:ascii="Trebuchet MS" w:eastAsia="Trebuchet MS" w:hAnsi="Trebuchet MS" w:cs="Trebuchet MS" w:hint="default"/>
                              <w:color w:val="FFFFFF"/>
                            </w:rPr>
                          </w:pPr>
                          <w:r>
                            <w:rPr>
                              <w:rFonts w:eastAsia="Helvetica"/>
                              <w:color w:val="FFFFFF"/>
                              <w:sz w:val="20"/>
                              <w:szCs w:val="20"/>
                              <w:u w:color="FFFFFF"/>
                            </w:rPr>
                            <w:t>在发行环节中，民营文化传媒机构可自主从事印刷、销售等活动，充分发挥其渠道资源。相对于出版环节，发行环节利润较低。</w:t>
                          </w:r>
                        </w:p>
                      </w:txbxContent>
                    </v:textbox>
                  </v:rect>
                </v:group>
                <w10:anchorlock/>
              </v:group>
            </w:pict>
          </mc:Fallback>
        </mc:AlternateContent>
      </w:r>
    </w:p>
    <w:p w:rsidR="003A5CE8" w:rsidRDefault="003A5CE8">
      <w:pPr>
        <w:pStyle w:val="A5"/>
        <w:ind w:firstLine="480"/>
      </w:pPr>
    </w:p>
    <w:p w:rsidR="003A5CE8" w:rsidRDefault="007038D7">
      <w:pPr>
        <w:pStyle w:val="A5"/>
        <w:ind w:firstLine="480"/>
        <w:rPr>
          <w:rFonts w:ascii="宋体" w:eastAsia="宋体" w:hAnsi="宋体" w:cs="宋体"/>
        </w:rPr>
      </w:pPr>
      <w:r>
        <w:rPr>
          <w:rFonts w:ascii="宋体" w:eastAsia="宋体" w:hAnsi="宋体" w:cs="宋体"/>
        </w:rPr>
        <w:t>在图书出版业的利润结构中，发行环节利润只占</w:t>
      </w:r>
      <w:r>
        <w:rPr>
          <w:rFonts w:ascii="Times New Roman"/>
          <w:lang w:val="en-US"/>
        </w:rPr>
        <w:t>26%</w:t>
      </w:r>
      <w:r>
        <w:rPr>
          <w:rFonts w:ascii="宋体" w:eastAsia="宋体" w:hAnsi="宋体" w:cs="宋体"/>
        </w:rPr>
        <w:t>左右。虽然民营文化企业可以通过图书选题策划、图书装帧设计、咨询服务等业务间接进入出版环节，但是发行环节依然是其主要业务基础。以亚马逊和当当网为代表的网络书店，传统的书店和主打特色牌和品牌效应的超级书城和连锁书店，以及图书批发机构仍是流通环节中民营企业不能放弃的阵地。</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利润低是一个问题，资金周转慢，流动资金匮乏是另一个问题。图书行业的结算方式和惯例</w:t>
      </w:r>
      <w:r>
        <w:rPr>
          <w:rFonts w:eastAsia="Times New Roman" w:hint="eastAsia"/>
        </w:rPr>
        <w:t>，</w:t>
      </w:r>
      <w:r>
        <w:rPr>
          <w:rFonts w:ascii="宋体" w:eastAsia="宋体" w:hAnsi="宋体" w:cs="宋体"/>
        </w:rPr>
        <w:t>进一步放大了现金流的困难。在图书行业，收款普遍采用的结算方式是按账期付款或按实际销售回款，一般通行的账期为</w:t>
      </w:r>
      <w:r>
        <w:rPr>
          <w:rFonts w:ascii="Times New Roman"/>
          <w:lang w:val="en-US"/>
        </w:rPr>
        <w:t>6</w:t>
      </w:r>
      <w:r>
        <w:rPr>
          <w:rFonts w:ascii="宋体" w:eastAsia="宋体" w:hAnsi="宋体" w:cs="宋体"/>
        </w:rPr>
        <w:t>个月，而对图书印制、纸张采购等行业的付款，一般通行的账期只有</w:t>
      </w:r>
      <w:r>
        <w:rPr>
          <w:rFonts w:ascii="Times New Roman"/>
          <w:lang w:val="en-US"/>
        </w:rPr>
        <w:t>1</w:t>
      </w:r>
      <w:r>
        <w:rPr>
          <w:rFonts w:ascii="宋体" w:eastAsia="宋体" w:hAnsi="宋体" w:cs="宋体"/>
        </w:rPr>
        <w:t>个月，对畅销书作家的稿费甚至可能需要部分预付。因此，成熟企业、大型企业和国有企业资金调剂安排上就比较轻松，而大部分中小型的民营企业，尤其是以出版为主业的企业，现金流往往是头等问题。曾经名噪一时的席殊书屋，其法人</w:t>
      </w:r>
      <w:r>
        <w:rPr>
          <w:rFonts w:ascii="Times New Roman"/>
          <w:lang w:val="en-US"/>
        </w:rPr>
        <w:t>2009</w:t>
      </w:r>
      <w:r>
        <w:rPr>
          <w:rFonts w:ascii="宋体" w:eastAsia="宋体" w:hAnsi="宋体" w:cs="宋体"/>
        </w:rPr>
        <w:t>年就曾因拖欠货款且拒绝配合执行被拘留。</w:t>
      </w:r>
    </w:p>
    <w:p w:rsidR="003A5CE8" w:rsidRDefault="007038D7">
      <w:pPr>
        <w:pStyle w:val="A5"/>
        <w:ind w:firstLine="480"/>
        <w:rPr>
          <w:rFonts w:ascii="宋体" w:eastAsia="宋体" w:hAnsi="宋体" w:cs="宋体"/>
        </w:rPr>
      </w:pPr>
      <w:r>
        <w:rPr>
          <w:rFonts w:ascii="宋体" w:eastAsia="宋体" w:hAnsi="宋体" w:cs="宋体"/>
        </w:rPr>
        <w:t>此外，传统出版业还面临着数字出版和电子商务的冲击。数字出版是指依</w:t>
      </w:r>
      <w:r>
        <w:rPr>
          <w:rFonts w:ascii="宋体" w:eastAsia="宋体" w:hAnsi="宋体" w:cs="宋体"/>
        </w:rPr>
        <w:lastRenderedPageBreak/>
        <w:t>托传统的资源，用数字化的技术进行立体化传播的出版活动。它包括原创作品的数字化、编辑加工的数字化、印刷复制的数字化、发行销售的数字化和阅读消费的数字化。在这个大范畴下涵盖了互联网期刊和多媒体网络互动期刊、电子图书、数字报纸、博客、互联网广告等多种载体形式。就传统出版与数字出版的市场而言，二者各有优势。数字出版的发展起始于上游内容资源的数字化，而其市场的火热却是在终端市场表现出来的，例如电子书市场。目前，以电子阅读服务和硬件生产为主的终端市场在数字出版产业中占有较大比重，数字出版因其使用电子介质、无纸化发行的特点，在终端市场上具有明显的优势。电商平台的兴起对传统出版的影响业也显而易见。随着电商平台在技术上的不断完善以及中国物流产业的发展与互联网用户数量的提高，网上书店对传统书店的挤压和对整个图书行业供需关系的影响越来越明显。</w:t>
      </w:r>
    </w:p>
    <w:p w:rsidR="003A5CE8" w:rsidRDefault="007038D7">
      <w:pPr>
        <w:pStyle w:val="A5"/>
        <w:ind w:firstLine="480"/>
        <w:rPr>
          <w:rFonts w:ascii="宋体" w:eastAsia="宋体" w:hAnsi="宋体" w:cs="宋体"/>
        </w:rPr>
      </w:pPr>
      <w:r>
        <w:rPr>
          <w:rFonts w:ascii="宋体" w:eastAsia="宋体" w:hAnsi="宋体" w:cs="宋体"/>
        </w:rPr>
        <w:t>面对市场的发展和转型，整个出版行业都举步维艰，许多企业为了在这样的困境中突围，不得不开始了对多元化战略的探索，例如攻占网络市场，将业务向影视剧等方向拓展等。而对于民营传媒企业来说，在应对这些共同面对的问题同时，相对于国有企业还需要面对更多制度上的限制与资金上的困难。而那些积累了业务拓展的资金的企业，在具备制度条件的前提下，大刀阔斧地做出了战略转型后，也并不都能收获愉快的结局。</w:t>
      </w:r>
    </w:p>
    <w:p w:rsidR="003A5CE8" w:rsidRDefault="007038D7">
      <w:pPr>
        <w:pStyle w:val="A5"/>
        <w:ind w:firstLine="480"/>
        <w:rPr>
          <w:rFonts w:ascii="宋体" w:eastAsia="宋体" w:hAnsi="宋体" w:cs="宋体"/>
        </w:rPr>
      </w:pPr>
      <w:r>
        <w:rPr>
          <w:rFonts w:ascii="宋体" w:eastAsia="宋体" w:hAnsi="宋体" w:cs="宋体"/>
        </w:rPr>
        <w:t>处于行业食物链底端，利润低，账期长，融资难，这些行业内民营企业普遍会面对的问题，精典博维也都经历过。正是精典博维在遇到这些问题时所做出的决策，成就了其在出版行业的领先地位，并成功将业务多元化，使其成为全产业链的文化传媒企业。可以说，陈黎明在不同时期、不同发展阶段选择的不同融资方案，为轻资产的民营文化产业提供了一种融资解决思路。让我们来看看陈黎明在企业发展中是如何做融资方案选择的。</w:t>
      </w:r>
    </w:p>
    <w:p w:rsidR="003A5CE8" w:rsidRDefault="003A5CE8">
      <w:pPr>
        <w:pStyle w:val="A5"/>
        <w:ind w:firstLine="480"/>
        <w:rPr>
          <w:rFonts w:ascii="宋体" w:eastAsia="宋体" w:hAnsi="宋体" w:cs="宋体"/>
        </w:rPr>
      </w:pPr>
    </w:p>
    <w:p w:rsidR="003A5CE8" w:rsidRDefault="003A5CE8">
      <w:pPr>
        <w:pStyle w:val="A5"/>
        <w:jc w:val="left"/>
        <w:rPr>
          <w:rFonts w:ascii="Times New Roman" w:eastAsia="Times New Roman" w:hAnsi="Times New Roman" w:cs="Times New Roman"/>
          <w:b/>
          <w:bCs/>
          <w:sz w:val="30"/>
          <w:szCs w:val="30"/>
        </w:rPr>
      </w:pPr>
    </w:p>
    <w:p w:rsidR="003A5CE8" w:rsidRDefault="003A5CE8">
      <w:pPr>
        <w:pStyle w:val="A5"/>
        <w:ind w:firstLine="480"/>
        <w:rPr>
          <w:rFonts w:ascii="Times New Roman" w:eastAsia="Times New Roman" w:hAnsi="Times New Roman" w:cs="Times New Roman"/>
          <w:b/>
          <w:bCs/>
          <w:sz w:val="30"/>
          <w:szCs w:val="30"/>
        </w:rPr>
      </w:pPr>
    </w:p>
    <w:p w:rsidR="003A5CE8" w:rsidRDefault="007038D7">
      <w:pPr>
        <w:pStyle w:val="B"/>
        <w:rPr>
          <w:rFonts w:ascii="宋体" w:eastAsia="宋体" w:hAnsi="宋体" w:cs="宋体" w:hint="default"/>
          <w:b/>
          <w:bCs/>
          <w:sz w:val="30"/>
          <w:szCs w:val="30"/>
          <w:shd w:val="clear" w:color="auto" w:fill="D8D8D8"/>
        </w:rPr>
      </w:pPr>
      <w:r>
        <w:rPr>
          <w:rFonts w:eastAsia="Times New Roman"/>
          <w:b/>
          <w:bCs/>
          <w:sz w:val="30"/>
          <w:szCs w:val="30"/>
          <w:shd w:val="clear" w:color="auto" w:fill="D8D8D8"/>
        </w:rPr>
        <w:t>第二部分：陈黎明的第一次重大融资决策：负债还是不负债？</w:t>
      </w:r>
    </w:p>
    <w:p w:rsidR="003A5CE8" w:rsidRDefault="003A5CE8">
      <w:pPr>
        <w:pStyle w:val="A5"/>
        <w:jc w:val="left"/>
        <w:rPr>
          <w:b/>
          <w:bCs/>
          <w:shd w:val="clear" w:color="auto" w:fill="D8D8D8"/>
        </w:rPr>
      </w:pPr>
    </w:p>
    <w:p w:rsidR="003A5CE8" w:rsidRDefault="007038D7">
      <w:pPr>
        <w:pStyle w:val="A5"/>
        <w:ind w:firstLine="480"/>
        <w:rPr>
          <w:rFonts w:ascii="宋体" w:eastAsia="宋体" w:hAnsi="宋体" w:cs="宋体"/>
        </w:rPr>
      </w:pPr>
      <w:r>
        <w:rPr>
          <w:rFonts w:ascii="宋体" w:eastAsia="宋体" w:hAnsi="宋体" w:cs="宋体"/>
        </w:rPr>
        <w:t>说起精典博维的故事就不得不从董事长陈黎明开始说起。</w:t>
      </w:r>
    </w:p>
    <w:p w:rsidR="003A5CE8" w:rsidRDefault="007038D7">
      <w:pPr>
        <w:pStyle w:val="B"/>
        <w:rPr>
          <w:rFonts w:ascii="宋体" w:eastAsia="宋体" w:hAnsi="宋体" w:cs="宋体" w:hint="default"/>
        </w:rPr>
      </w:pPr>
      <w:r>
        <w:rPr>
          <w:rFonts w:ascii="宋体" w:eastAsia="宋体" w:hAnsi="宋体" w:cs="宋体"/>
        </w:rPr>
        <w:t>陈黎明</w:t>
      </w:r>
      <w:r>
        <w:rPr>
          <w:rFonts w:ascii="Times New Roman"/>
          <w:lang w:val="en-US"/>
        </w:rPr>
        <w:t>2000</w:t>
      </w:r>
      <w:r>
        <w:rPr>
          <w:rFonts w:ascii="宋体" w:eastAsia="宋体" w:hAnsi="宋体" w:cs="宋体"/>
        </w:rPr>
        <w:t>年毕业于中国人民大学国际贸易专业，在大学期间，他就参与了一些出版活动并获得了对于一个在校学生来说不菲的收入。尝到了甜头的他，萌生了在出版行业发展的念头，于是毕业后他去北大攻读了知识产权法的第二学位。</w:t>
      </w:r>
      <w:r>
        <w:rPr>
          <w:rFonts w:ascii="Times New Roman"/>
          <w:lang w:val="en-US"/>
        </w:rPr>
        <w:t>2003</w:t>
      </w:r>
      <w:r>
        <w:rPr>
          <w:rFonts w:ascii="宋体" w:eastAsia="宋体" w:hAnsi="宋体" w:cs="宋体"/>
        </w:rPr>
        <w:t>年起，陈黎明开始在中国人民大学出版社任职。这些年在出版行业的一路摸爬滚打，使得陈黎明在北京出版界已经渐渐开始有了一些声誉。</w:t>
      </w:r>
      <w:r>
        <w:rPr>
          <w:rFonts w:ascii="Times New Roman"/>
          <w:lang w:val="en-US"/>
        </w:rPr>
        <w:t>2005</w:t>
      </w:r>
      <w:r>
        <w:rPr>
          <w:rFonts w:ascii="宋体" w:eastAsia="宋体" w:hAnsi="宋体" w:cs="宋体"/>
        </w:rPr>
        <w:t>年，陈黎明创建了属于自己的北京精典博维文化传媒有限公司。</w:t>
      </w:r>
    </w:p>
    <w:p w:rsidR="003A5CE8" w:rsidRDefault="007038D7">
      <w:pPr>
        <w:pStyle w:val="A5"/>
        <w:ind w:firstLine="480"/>
        <w:rPr>
          <w:rFonts w:ascii="宋体" w:eastAsia="宋体" w:hAnsi="宋体" w:cs="宋体"/>
        </w:rPr>
      </w:pPr>
      <w:r>
        <w:rPr>
          <w:rFonts w:ascii="宋体" w:eastAsia="宋体" w:hAnsi="宋体" w:cs="宋体"/>
        </w:rPr>
        <w:t>精典博维在创办之初，公司的业务主要集中在图书选题策划与发行销售。</w:t>
      </w:r>
    </w:p>
    <w:p w:rsidR="003A5CE8" w:rsidRDefault="007038D7">
      <w:pPr>
        <w:pStyle w:val="A5"/>
        <w:ind w:firstLine="480"/>
        <w:rPr>
          <w:rFonts w:ascii="宋体" w:eastAsia="宋体" w:hAnsi="宋体" w:cs="宋体"/>
        </w:rPr>
      </w:pPr>
      <w:r>
        <w:rPr>
          <w:rFonts w:ascii="宋体" w:eastAsia="宋体" w:hAnsi="宋体" w:cs="宋体"/>
        </w:rPr>
        <w:t>短短数年间，精典博维连续与金城出版社、新世界出版社等合作策划出版了《洪昭光健康养生精华集》、《</w:t>
      </w:r>
      <w:hyperlink r:id="rId8" w:history="1">
        <w:r>
          <w:rPr>
            <w:rStyle w:val="Hyperlink0"/>
          </w:rPr>
          <w:t>金字塔原理</w:t>
        </w:r>
      </w:hyperlink>
      <w:r>
        <w:rPr>
          <w:rFonts w:ascii="宋体" w:eastAsia="宋体" w:hAnsi="宋体" w:cs="宋体"/>
        </w:rPr>
        <w:t>》、《</w:t>
      </w:r>
      <w:hyperlink r:id="rId9" w:history="1">
        <w:r>
          <w:rPr>
            <w:rStyle w:val="Hyperlink0"/>
          </w:rPr>
          <w:t>如何掌控自己的时间和生活</w:t>
        </w:r>
      </w:hyperlink>
      <w:r>
        <w:rPr>
          <w:rFonts w:ascii="宋体" w:eastAsia="宋体" w:hAnsi="宋体" w:cs="宋体"/>
        </w:rPr>
        <w:t>》、《</w:t>
      </w:r>
      <w:hyperlink r:id="rId10" w:history="1">
        <w:r>
          <w:rPr>
            <w:rStyle w:val="Hyperlink0"/>
          </w:rPr>
          <w:t>上帝的指纹</w:t>
        </w:r>
      </w:hyperlink>
      <w:r>
        <w:rPr>
          <w:rFonts w:ascii="宋体" w:eastAsia="宋体" w:hAnsi="宋体" w:cs="宋体"/>
        </w:rPr>
        <w:t>》等书籍，位列历年社科类图书畅销榜的</w:t>
      </w:r>
      <w:hyperlink r:id="rId11" w:history="1">
        <w:r>
          <w:rPr>
            <w:rStyle w:val="Hyperlink0"/>
          </w:rPr>
          <w:t>前茅</w:t>
        </w:r>
      </w:hyperlink>
      <w:r>
        <w:rPr>
          <w:rFonts w:ascii="宋体" w:eastAsia="宋体" w:hAnsi="宋体" w:cs="宋体"/>
        </w:rPr>
        <w:t>。其中《如何掌控自己的时间和生活》在</w:t>
      </w:r>
      <w:r>
        <w:rPr>
          <w:rFonts w:ascii="Times New Roman"/>
          <w:lang w:val="en-US"/>
        </w:rPr>
        <w:t>2006</w:t>
      </w:r>
      <w:r>
        <w:rPr>
          <w:rFonts w:ascii="宋体" w:eastAsia="宋体" w:hAnsi="宋体" w:cs="宋体"/>
        </w:rPr>
        <w:t>年两会期间，被两会代表作为重点赠书掀起了国内的团购新高峰，引发了业界的普遍瞩目。</w:t>
      </w:r>
      <w:r>
        <w:rPr>
          <w:rFonts w:ascii="Arial"/>
          <w:lang w:val="en-US"/>
        </w:rPr>
        <w:t>2007</w:t>
      </w:r>
      <w:r>
        <w:rPr>
          <w:rFonts w:ascii="宋体" w:eastAsia="宋体" w:hAnsi="宋体" w:cs="宋体"/>
        </w:rPr>
        <w:t>年出版的《洪昭光健康养生精华集》，获得健康时报和新浪读书评选的首届全国健康图书第一名。</w:t>
      </w:r>
    </w:p>
    <w:p w:rsidR="003A5CE8" w:rsidRDefault="007038D7">
      <w:pPr>
        <w:pStyle w:val="A5"/>
        <w:ind w:firstLine="480"/>
        <w:rPr>
          <w:rFonts w:ascii="Arial" w:eastAsia="Arial" w:hAnsi="Arial" w:cs="Arial"/>
        </w:rPr>
      </w:pPr>
      <w:r>
        <w:rPr>
          <w:rFonts w:ascii="宋体" w:eastAsia="宋体" w:hAnsi="宋体" w:cs="宋体"/>
        </w:rPr>
        <w:t>同时，精典博维与国际传媒巨头贝塔斯曼建立了长期的战略合作关系，在</w:t>
      </w:r>
      <w:r>
        <w:rPr>
          <w:rFonts w:ascii="Arial"/>
          <w:lang w:val="en-US"/>
        </w:rPr>
        <w:t>2007</w:t>
      </w:r>
      <w:r>
        <w:rPr>
          <w:rFonts w:ascii="宋体" w:eastAsia="宋体" w:hAnsi="宋体" w:cs="宋体"/>
        </w:rPr>
        <w:t>、</w:t>
      </w:r>
      <w:r>
        <w:rPr>
          <w:rFonts w:ascii="Arial"/>
          <w:lang w:val="en-US"/>
        </w:rPr>
        <w:t>2008</w:t>
      </w:r>
      <w:r>
        <w:rPr>
          <w:rFonts w:ascii="宋体" w:eastAsia="宋体" w:hAnsi="宋体" w:cs="宋体"/>
        </w:rPr>
        <w:t>这两年间，精典博维连续被评为贝塔斯曼最佳供应商。除此之</w:t>
      </w:r>
      <w:r>
        <w:rPr>
          <w:rFonts w:ascii="宋体" w:eastAsia="宋体" w:hAnsi="宋体" w:cs="宋体"/>
        </w:rPr>
        <w:lastRenderedPageBreak/>
        <w:t>外，精典博维与本土最大的两个线上书商卓越亚马网上书店和当当网业保持着良好关系，曾被评为卓越亚马逊</w:t>
      </w:r>
      <w:r>
        <w:rPr>
          <w:rFonts w:ascii="Arial"/>
          <w:lang w:val="en-US"/>
        </w:rPr>
        <w:t>2007</w:t>
      </w:r>
      <w:r>
        <w:rPr>
          <w:rFonts w:ascii="宋体" w:eastAsia="宋体" w:hAnsi="宋体" w:cs="宋体"/>
        </w:rPr>
        <w:t>年度四星级供应商、获得当当网</w:t>
      </w:r>
      <w:r>
        <w:rPr>
          <w:rFonts w:ascii="Arial"/>
          <w:lang w:val="en-US"/>
        </w:rPr>
        <w:t>2008</w:t>
      </w:r>
      <w:r>
        <w:rPr>
          <w:rFonts w:ascii="宋体" w:eastAsia="宋体" w:hAnsi="宋体" w:cs="宋体"/>
        </w:rPr>
        <w:t>年度最具成长奖。</w:t>
      </w:r>
    </w:p>
    <w:p w:rsidR="003A5CE8" w:rsidRDefault="007038D7">
      <w:pPr>
        <w:pStyle w:val="A5"/>
        <w:ind w:firstLine="480"/>
        <w:rPr>
          <w:rFonts w:ascii="宋体" w:eastAsia="宋体" w:hAnsi="宋体" w:cs="宋体"/>
        </w:rPr>
      </w:pPr>
      <w:r>
        <w:rPr>
          <w:rFonts w:ascii="Times New Roman"/>
          <w:lang w:val="en-US"/>
        </w:rPr>
        <w:t>2008</w:t>
      </w:r>
      <w:r>
        <w:rPr>
          <w:rFonts w:ascii="宋体" w:eastAsia="宋体" w:hAnsi="宋体" w:cs="宋体"/>
        </w:rPr>
        <w:t>年对精典博维来说，是有重要意义的一年。在这一年，贝塔斯曼宣布全面关停在中国大陆的业务部门，撤出中国市场，其中国业务需要一个中国机构承担。最初精典博维的董事长陈黎明曾欲促成中国外文出版发行事业局与贝塔斯曼合作，但由于机制上无法对接，合作最终没能达成。在这种情况下，陈黎明做出了一个大胆的决定</w:t>
      </w:r>
      <w:r>
        <w:rPr>
          <w:rFonts w:hAnsi="Times New Roman"/>
          <w:lang w:val="en-US"/>
        </w:rPr>
        <w:t>——</w:t>
      </w:r>
      <w:r>
        <w:rPr>
          <w:rFonts w:ascii="宋体" w:eastAsia="宋体" w:hAnsi="宋体" w:cs="宋体"/>
        </w:rPr>
        <w:t>让精典博维与贝塔斯曼尝试对接。因为之前与贝塔斯曼长期的愉快合作，陈黎明深得贝塔斯曼高层的信任，这个想法得到了对方的认可。</w:t>
      </w:r>
    </w:p>
    <w:p w:rsidR="003A5CE8" w:rsidRDefault="007038D7">
      <w:pPr>
        <w:pStyle w:val="A5"/>
        <w:ind w:firstLine="480"/>
        <w:rPr>
          <w:rFonts w:ascii="宋体" w:eastAsia="宋体" w:hAnsi="宋体" w:cs="宋体"/>
        </w:rPr>
      </w:pPr>
      <w:r>
        <w:rPr>
          <w:rFonts w:ascii="宋体" w:eastAsia="宋体" w:hAnsi="宋体" w:cs="宋体"/>
        </w:rPr>
        <w:t>精典博维作为一个不知名的小公司去收购如此庞大的组织，可以说是一个</w:t>
      </w:r>
      <w:r>
        <w:rPr>
          <w:rFonts w:hAnsi="Times New Roman"/>
          <w:lang w:val="en-US"/>
        </w:rPr>
        <w:t>“</w:t>
      </w:r>
      <w:r>
        <w:rPr>
          <w:rFonts w:ascii="宋体" w:eastAsia="宋体" w:hAnsi="宋体" w:cs="宋体"/>
        </w:rPr>
        <w:t>蛇吞象</w:t>
      </w:r>
      <w:r>
        <w:rPr>
          <w:rFonts w:hAnsi="Times New Roman"/>
          <w:lang w:val="en-US"/>
        </w:rPr>
        <w:t>”</w:t>
      </w:r>
      <w:r>
        <w:rPr>
          <w:rFonts w:ascii="宋体" w:eastAsia="宋体" w:hAnsi="宋体" w:cs="宋体"/>
        </w:rPr>
        <w:t>的举动。贝塔斯曼开出的</w:t>
      </w:r>
      <w:r>
        <w:rPr>
          <w:rFonts w:ascii="Times New Roman"/>
          <w:lang w:val="en-US"/>
        </w:rPr>
        <w:t>1000</w:t>
      </w:r>
      <w:r>
        <w:rPr>
          <w:rFonts w:ascii="宋体" w:eastAsia="宋体" w:hAnsi="宋体" w:cs="宋体"/>
        </w:rPr>
        <w:t>万元的收购价格，对精典博维短期内的现金流是一个非常大的挑战。以精典博维自己的资本积累，是不足以完成这一次收购的。这时摆在陈黎明面前的选择就是：负债还是不负债？不负债，就不能抓住这次机会，负债，就要承担财务风险和财务成本。</w:t>
      </w:r>
    </w:p>
    <w:p w:rsidR="003A5CE8" w:rsidRDefault="007038D7">
      <w:pPr>
        <w:pStyle w:val="A5"/>
        <w:ind w:firstLine="480"/>
        <w:rPr>
          <w:rFonts w:ascii="宋体" w:eastAsia="宋体" w:hAnsi="宋体" w:cs="宋体"/>
        </w:rPr>
      </w:pPr>
      <w:r>
        <w:rPr>
          <w:rFonts w:ascii="宋体" w:eastAsia="宋体" w:hAnsi="宋体" w:cs="宋体"/>
        </w:rPr>
        <w:t>陈黎明作出的决策是：负债！最终，精典博维用知识产权在交通银行做抵押获得文化产业贷款，成功收购了贝塔斯曼在中国的出版业务和资产。</w:t>
      </w:r>
    </w:p>
    <w:p w:rsidR="003A5CE8" w:rsidRDefault="007038D7">
      <w:pPr>
        <w:pStyle w:val="A5"/>
        <w:ind w:firstLine="480"/>
        <w:rPr>
          <w:rFonts w:ascii="宋体" w:eastAsia="宋体" w:hAnsi="宋体" w:cs="宋体"/>
        </w:rPr>
      </w:pPr>
      <w:r>
        <w:rPr>
          <w:rFonts w:ascii="宋体" w:eastAsia="宋体" w:hAnsi="宋体" w:cs="宋体"/>
        </w:rPr>
        <w:t>并购给精典博维带来了第一次的业务爆发。</w:t>
      </w:r>
      <w:r>
        <w:rPr>
          <w:rFonts w:ascii="Times New Roman"/>
          <w:lang w:val="en-US"/>
        </w:rPr>
        <w:t>2008</w:t>
      </w:r>
      <w:r>
        <w:rPr>
          <w:rFonts w:ascii="宋体" w:eastAsia="宋体" w:hAnsi="宋体" w:cs="宋体"/>
        </w:rPr>
        <w:t>年至</w:t>
      </w:r>
      <w:r>
        <w:rPr>
          <w:rFonts w:ascii="Times New Roman"/>
          <w:lang w:val="en-US"/>
        </w:rPr>
        <w:t>2009</w:t>
      </w:r>
      <w:r>
        <w:rPr>
          <w:rFonts w:ascii="宋体" w:eastAsia="宋体" w:hAnsi="宋体" w:cs="宋体"/>
        </w:rPr>
        <w:t>年两年的时间，通过并购贝塔斯曼，精典博维收获了贝塔斯曼旗下出版公司</w:t>
      </w:r>
      <w:r>
        <w:rPr>
          <w:rFonts w:hAnsi="Times New Roman"/>
          <w:lang w:val="en-US"/>
        </w:rPr>
        <w:t>—</w:t>
      </w:r>
      <w:r>
        <w:rPr>
          <w:rFonts w:ascii="宋体" w:eastAsia="宋体" w:hAnsi="宋体" w:cs="宋体"/>
        </w:rPr>
        <w:t>杭州贝榕图书有限公司（榕树下），实力壮大了许多。关于精典博维与贝塔斯曼的这段经历，必须要提及的一点是，由于贝塔斯曼的常年支持和战略合作，精典博维获得了一个极佳的对外合作平台，先后和美国、欧洲、日本、东南亚、韩国以及我国香港和台湾地区等近千家国际著名出版机构进行了版权贸易和合作交流。而贝塔斯曼在中国本身就拥有安妮宝贝、韩寒、江南等国内知名作家的版权。这次收购使得公司大大扩张了自己旗下的作家团队与图书版权库，签下了多个国内外一线作家及其作品资源。这也为公司后来的核心竞争力名家经纪的业务奠定了基础。</w:t>
      </w:r>
    </w:p>
    <w:p w:rsidR="003A5CE8" w:rsidRDefault="007038D7">
      <w:pPr>
        <w:pStyle w:val="A5"/>
        <w:ind w:firstLine="480"/>
        <w:rPr>
          <w:rFonts w:ascii="宋体" w:eastAsia="宋体" w:hAnsi="宋体" w:cs="宋体"/>
        </w:rPr>
      </w:pPr>
      <w:r>
        <w:rPr>
          <w:rFonts w:ascii="宋体" w:eastAsia="宋体" w:hAnsi="宋体" w:cs="宋体"/>
        </w:rPr>
        <w:t>紧跟着并购的步伐，公司也开始了在影视方面的拓展。</w:t>
      </w:r>
      <w:r>
        <w:rPr>
          <w:rFonts w:ascii="Times New Roman"/>
          <w:lang w:val="en-US"/>
        </w:rPr>
        <w:t>2009</w:t>
      </w:r>
      <w:r>
        <w:rPr>
          <w:rFonts w:ascii="宋体" w:eastAsia="宋体" w:hAnsi="宋体" w:cs="宋体"/>
        </w:rPr>
        <w:t>年，精典博维与华谊兄弟、海润影视、天星传媒等知名企业深度合作，相继推出《拉贝日记》、《电影风声传奇》、《红海洋》、《宝莲灯》等畅销影视作品，掀起了影视图书的热销浪潮。这些合作，为公司未来向影视作品制作方向发力探了路，试了水。</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此时精典博维的发展可谓是顺风顺水蒸蒸日上。锦上添花的是，</w:t>
      </w:r>
      <w:r>
        <w:rPr>
          <w:rFonts w:ascii="Times New Roman"/>
          <w:lang w:val="en-US"/>
        </w:rPr>
        <w:t>2011</w:t>
      </w:r>
      <w:r>
        <w:rPr>
          <w:rFonts w:ascii="宋体" w:eastAsia="宋体" w:hAnsi="宋体" w:cs="宋体"/>
        </w:rPr>
        <w:t>年精典博维又迎来了一个开拓新的业务领域的好机会</w:t>
      </w:r>
      <w:r>
        <w:rPr>
          <w:rFonts w:hAnsi="Times New Roman"/>
          <w:lang w:val="en-US"/>
        </w:rPr>
        <w:t>——</w:t>
      </w:r>
      <w:r>
        <w:rPr>
          <w:rFonts w:ascii="宋体" w:eastAsia="宋体" w:hAnsi="宋体" w:cs="宋体"/>
        </w:rPr>
        <w:t>北京市旅游委向其发出了承办《北京旅游》杂志的投标邀请。该杂志将由北京市旅游委定向投放北京所有四星级以上酒店逾</w:t>
      </w:r>
      <w:r>
        <w:rPr>
          <w:rFonts w:ascii="Times New Roman"/>
          <w:lang w:val="en-US"/>
        </w:rPr>
        <w:t>13</w:t>
      </w:r>
      <w:r>
        <w:rPr>
          <w:rFonts w:ascii="宋体" w:eastAsia="宋体" w:hAnsi="宋体" w:cs="宋体"/>
        </w:rPr>
        <w:t>万间客房，同时还具有在全国机场、高铁站和各旅游景点销售的潜在市场。那么，精典博维要不要接受这个邀请呢？</w:t>
      </w:r>
    </w:p>
    <w:p w:rsidR="003A5CE8" w:rsidRDefault="003A5CE8">
      <w:pPr>
        <w:pStyle w:val="A5"/>
        <w:ind w:firstLine="480"/>
        <w:rPr>
          <w:rFonts w:ascii="宋体" w:eastAsia="宋体" w:hAnsi="宋体" w:cs="宋体"/>
        </w:rPr>
      </w:pPr>
    </w:p>
    <w:p w:rsidR="003A5CE8" w:rsidRDefault="003A5CE8">
      <w:pPr>
        <w:pStyle w:val="A5"/>
        <w:rPr>
          <w:rFonts w:ascii="宋体" w:eastAsia="宋体" w:hAnsi="宋体" w:cs="宋体"/>
        </w:rPr>
      </w:pPr>
    </w:p>
    <w:p w:rsidR="003A5CE8" w:rsidRDefault="007038D7">
      <w:pPr>
        <w:pStyle w:val="A5"/>
        <w:rPr>
          <w:rFonts w:ascii="宋体" w:eastAsia="宋体" w:hAnsi="宋体" w:cs="宋体"/>
          <w:b/>
          <w:bCs/>
          <w:sz w:val="30"/>
          <w:szCs w:val="30"/>
          <w:shd w:val="clear" w:color="auto" w:fill="D8D8D8"/>
        </w:rPr>
      </w:pPr>
      <w:r>
        <w:rPr>
          <w:rFonts w:ascii="宋体" w:eastAsia="宋体" w:hAnsi="宋体" w:cs="宋体"/>
          <w:b/>
          <w:bCs/>
          <w:sz w:val="30"/>
          <w:szCs w:val="30"/>
          <w:shd w:val="clear" w:color="auto" w:fill="D8D8D8"/>
        </w:rPr>
        <w:t>第三部分：陈黎明的第二次重大融资决策：引入天使投资吗？</w:t>
      </w:r>
    </w:p>
    <w:p w:rsidR="003A5CE8" w:rsidRDefault="003A5CE8">
      <w:pPr>
        <w:pStyle w:val="A5"/>
        <w:ind w:firstLine="519"/>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收购贝塔斯曼，陈黎明利用知识产权抵押获得了银行贷款，对于轻资产的文化企业而言，已是很大的杠杆了，其财务成本对于低利润的行业来讲也是一</w:t>
      </w:r>
      <w:r>
        <w:rPr>
          <w:rFonts w:ascii="宋体" w:eastAsia="宋体" w:hAnsi="宋体" w:cs="宋体"/>
        </w:rPr>
        <w:lastRenderedPageBreak/>
        <w:t>个负担。如果中标并承办了《北京旅游》杂志，一方面会给精典博维带来很大的业务拓展，另一方面，杂志的运营需要投入大笔营运资本，资金压力又将再次成为企业经营的关键问题。正如前面行业背景部分所提到过的，图书行业的账期比较长，而且往往收账慢，垫支多。经营一本代表北京文化水平的旅游杂志，首先，要保证连续经营，每个月准时投放。其次，图片要专业，印制要精良。最后，为了体现精典博维的竞争优势，需要向名家约稿。要做到这些，资金必须到位。</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陈黎明此时的思路是，先做出第一个判断：企业是稳扎稳打搞出版还是加速转型全面进击文化产业？如果选择前者，那么融资可以放缓；如果选择后者，那么就要做出第二个判断：选择哪种融资渠道。</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对第一个问题，陈黎明选择了后者：积极参与杂志投标，并借此契机，全面拓展业务。他做出这个选择的理由有三点：第一，出版业的存量版图基本划定，加上电子书与互联网的加入，企业的生存与发展需要在业务类型上有所突破；第二，之前试水的</w:t>
      </w:r>
      <w:r>
        <w:rPr>
          <w:rFonts w:hAnsi="Times New Roman"/>
          <w:lang w:val="en-US"/>
        </w:rPr>
        <w:t>“</w:t>
      </w:r>
      <w:r>
        <w:rPr>
          <w:rFonts w:ascii="宋体" w:eastAsia="宋体" w:hAnsi="宋体" w:cs="宋体"/>
        </w:rPr>
        <w:t>名家经纪</w:t>
      </w:r>
      <w:r>
        <w:rPr>
          <w:rFonts w:hAnsi="Times New Roman"/>
          <w:lang w:val="en-US"/>
        </w:rPr>
        <w:t>”</w:t>
      </w:r>
      <w:r>
        <w:rPr>
          <w:rFonts w:ascii="宋体" w:eastAsia="宋体" w:hAnsi="宋体" w:cs="宋体"/>
        </w:rPr>
        <w:t>业务初见成效，即使没有投入杂志的营运资本压力，也需要进一步融资来签约一线作家，储备优质的版权资源，使之成为公司区别于其他企业的核心竞争力；三，互联网＋的概念，既是政府提倡，又是市场选择，企业处于市场转型的关键时刻不能犹豫，要加大投入。于是，在现有业务和未来发展的双重资金需求压力下，陈黎明需要做出第二个判断：选择哪种融资渠道。</w:t>
      </w:r>
    </w:p>
    <w:p w:rsidR="003A5CE8" w:rsidRDefault="007038D7">
      <w:pPr>
        <w:pStyle w:val="A5"/>
        <w:ind w:firstLine="480"/>
        <w:rPr>
          <w:rFonts w:ascii="宋体" w:eastAsia="宋体" w:hAnsi="宋体" w:cs="宋体"/>
        </w:rPr>
      </w:pPr>
      <w:r>
        <w:rPr>
          <w:rFonts w:ascii="PMingLiU" w:eastAsia="PMingLiU" w:hAnsi="PMingLiU" w:cs="PMingLiU"/>
        </w:rPr>
        <w:t>获得资金支持的传统渠道，有</w:t>
      </w:r>
      <w:r>
        <w:rPr>
          <w:rFonts w:ascii="宋体" w:eastAsia="宋体" w:hAnsi="宋体" w:cs="宋体"/>
        </w:rPr>
        <w:t>股权融资和债权融资两种。</w:t>
      </w:r>
    </w:p>
    <w:tbl>
      <w:tblPr>
        <w:tblStyle w:val="TableNormal"/>
        <w:tblW w:w="851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35"/>
        <w:gridCol w:w="3442"/>
        <w:gridCol w:w="2839"/>
      </w:tblGrid>
      <w:tr w:rsidR="003A5CE8">
        <w:trPr>
          <w:trHeight w:val="40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3A5CE8">
            <w:pPr>
              <w:rPr>
                <w:lang w:eastAsia="zh-CN"/>
              </w:rPr>
            </w:pP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股权融资</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债券融资</w:t>
            </w:r>
          </w:p>
        </w:tc>
      </w:tr>
      <w:tr w:rsidR="003A5CE8">
        <w:trPr>
          <w:trHeight w:val="142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jc w:val="center"/>
            </w:pPr>
            <w:r>
              <w:rPr>
                <w:rFonts w:ascii="宋体" w:eastAsia="宋体" w:hAnsi="宋体" w:cs="宋体"/>
                <w:kern w:val="0"/>
                <w:sz w:val="20"/>
                <w:szCs w:val="20"/>
              </w:rPr>
              <w:t>还本付息</w:t>
            </w: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rPr>
                <w:rFonts w:ascii="宋体" w:eastAsia="宋体" w:hAnsi="宋体" w:cs="宋体"/>
                <w:kern w:val="0"/>
                <w:sz w:val="20"/>
                <w:szCs w:val="20"/>
              </w:rPr>
            </w:pPr>
            <w:r>
              <w:rPr>
                <w:rFonts w:ascii="宋体" w:eastAsia="宋体" w:hAnsi="宋体" w:cs="宋体"/>
                <w:kern w:val="0"/>
                <w:sz w:val="20"/>
                <w:szCs w:val="20"/>
              </w:rPr>
              <w:t>无需还本</w:t>
            </w:r>
          </w:p>
          <w:p w:rsidR="003A5CE8" w:rsidRDefault="007038D7">
            <w:pPr>
              <w:pStyle w:val="A5"/>
            </w:pPr>
            <w:r>
              <w:rPr>
                <w:rFonts w:ascii="宋体" w:eastAsia="宋体" w:hAnsi="宋体" w:cs="宋体"/>
                <w:kern w:val="0"/>
                <w:sz w:val="20"/>
                <w:szCs w:val="20"/>
              </w:rPr>
              <w:t>无固定股利负担</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资金有到期日，需还本。需支付利息，且利息负担往往较重。财务风险较高。</w:t>
            </w:r>
          </w:p>
        </w:tc>
      </w:tr>
      <w:tr w:rsidR="003A5CE8">
        <w:trPr>
          <w:trHeight w:val="74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jc w:val="center"/>
            </w:pPr>
            <w:r>
              <w:rPr>
                <w:rFonts w:ascii="宋体" w:eastAsia="宋体" w:hAnsi="宋体" w:cs="宋体"/>
                <w:kern w:val="0"/>
                <w:sz w:val="20"/>
                <w:szCs w:val="20"/>
              </w:rPr>
              <w:t>控制权</w:t>
            </w: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会分散企业控制权，甚至使企业面临丧失控制权的风险。</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对企业控制权影响较小</w:t>
            </w:r>
          </w:p>
        </w:tc>
      </w:tr>
      <w:tr w:rsidR="003A5CE8">
        <w:trPr>
          <w:trHeight w:val="108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jc w:val="center"/>
            </w:pPr>
            <w:r>
              <w:rPr>
                <w:rFonts w:ascii="宋体" w:eastAsia="宋体" w:hAnsi="宋体" w:cs="宋体"/>
                <w:kern w:val="0"/>
                <w:sz w:val="20"/>
                <w:szCs w:val="20"/>
              </w:rPr>
              <w:t>抵押</w:t>
            </w: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无需抵押</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需抵押。限制部分轻资产企业融资能力，影响企业再融资。</w:t>
            </w:r>
          </w:p>
        </w:tc>
      </w:tr>
      <w:tr w:rsidR="003A5CE8">
        <w:trPr>
          <w:trHeight w:val="40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jc w:val="center"/>
            </w:pPr>
            <w:r>
              <w:rPr>
                <w:rFonts w:ascii="宋体" w:eastAsia="宋体" w:hAnsi="宋体" w:cs="宋体"/>
                <w:kern w:val="0"/>
                <w:sz w:val="20"/>
                <w:szCs w:val="20"/>
              </w:rPr>
              <w:t>融资成本</w:t>
            </w: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相对较高</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相对较低</w:t>
            </w:r>
          </w:p>
        </w:tc>
      </w:tr>
      <w:tr w:rsidR="003A5CE8">
        <w:trPr>
          <w:trHeight w:val="40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jc w:val="center"/>
            </w:pPr>
            <w:r>
              <w:rPr>
                <w:rFonts w:ascii="宋体" w:eastAsia="宋体" w:hAnsi="宋体" w:cs="宋体"/>
                <w:kern w:val="0"/>
                <w:sz w:val="20"/>
                <w:szCs w:val="20"/>
              </w:rPr>
              <w:t>财务杠杆作用</w:t>
            </w: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无</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有</w:t>
            </w:r>
          </w:p>
        </w:tc>
      </w:tr>
      <w:tr w:rsidR="003A5CE8">
        <w:trPr>
          <w:trHeight w:val="400"/>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jc w:val="center"/>
            </w:pPr>
            <w:r>
              <w:rPr>
                <w:rFonts w:ascii="宋体" w:eastAsia="宋体" w:hAnsi="宋体" w:cs="宋体"/>
                <w:kern w:val="0"/>
                <w:sz w:val="20"/>
                <w:szCs w:val="20"/>
              </w:rPr>
              <w:t>稀释原有股东份额</w:t>
            </w:r>
          </w:p>
        </w:tc>
        <w:tc>
          <w:tcPr>
            <w:tcW w:w="3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会</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pPr>
            <w:r>
              <w:rPr>
                <w:rFonts w:ascii="宋体" w:eastAsia="宋体" w:hAnsi="宋体" w:cs="宋体"/>
                <w:kern w:val="0"/>
                <w:sz w:val="20"/>
                <w:szCs w:val="20"/>
              </w:rPr>
              <w:t>不会</w:t>
            </w:r>
          </w:p>
        </w:tc>
      </w:tr>
    </w:tbl>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所谓股权融资，就是企业的股东愿意将企业的所有权进行部分出让，用这种方式来吸引新的股东加入，从而得到企业发展所需资金。股权融资的优点很明显，首先是资金使用期限长；其次，股权融资没有定期偿付的财务压力，财务风险比较小；同时，股权融资还可以增强企业的资信和实力。不过，股权融资的缺点也是明显的，首先是企业将面临控制权分散和失去控制权的风险，另外就是资本成本较高。股权融资所得到的资金是永久性的，没有时间的限制，不涉及归还的问题。而对于投资人来说，要想收回资金只能借助资本市场的股权流通来实现。</w:t>
      </w:r>
    </w:p>
    <w:p w:rsidR="003A5CE8" w:rsidRDefault="007038D7">
      <w:pPr>
        <w:pStyle w:val="A5"/>
        <w:ind w:firstLine="480"/>
        <w:rPr>
          <w:rFonts w:ascii="宋体" w:eastAsia="宋体" w:hAnsi="宋体" w:cs="宋体"/>
        </w:rPr>
      </w:pPr>
      <w:r>
        <w:rPr>
          <w:rFonts w:ascii="宋体" w:eastAsia="宋体" w:hAnsi="宋体" w:cs="宋体"/>
        </w:rPr>
        <w:t>债权融资，简单来说，就是企业用借钱的方式来进行融资。与股权融资相比，债权融资需要到期偿还，并且要进行利息的支付，而且这种支付是定期的，会造成财务上较大的风险。另外，通过债权融资得到的资金，主要是解决企业营运资金短缺的问题，用途比较窄，而且会影响到公司资产负债表结构。不过，它的优点是企业的控制权不受影响，与股权融资相比融资成本相对较低，另外还能获得财务杠杆效应。</w:t>
      </w:r>
    </w:p>
    <w:p w:rsidR="003A5CE8" w:rsidRDefault="007038D7">
      <w:pPr>
        <w:pStyle w:val="A5"/>
        <w:ind w:firstLine="480"/>
        <w:rPr>
          <w:rFonts w:ascii="宋体" w:eastAsia="宋体" w:hAnsi="宋体" w:cs="宋体"/>
        </w:rPr>
      </w:pPr>
      <w:r>
        <w:rPr>
          <w:rFonts w:ascii="宋体" w:eastAsia="宋体" w:hAnsi="宋体" w:cs="宋体"/>
        </w:rPr>
        <w:t>不论是股权融资还是债权融资，都有明显的优势，也存在一定的缺点。企业在选择融资方式时，要根据自身的特点来选择，比如资金的用途、财务压力、企业控制权的重要与否，这些都是在融资前需要考虑的问题。</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那么，精典博维是怎么来做这一次融资决策的呢？</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银行贷款是债权融资，申请过程较为简便，但是对于借贷企业或个人资信审查十分严格，审批过程非常冗长，贷款额度一般为抵押物的</w:t>
      </w:r>
      <w:r>
        <w:rPr>
          <w:rFonts w:ascii="宋体" w:eastAsia="宋体" w:hAnsi="宋体" w:cs="宋体"/>
          <w:lang w:val="en-US"/>
        </w:rPr>
        <w:t>50%</w:t>
      </w:r>
      <w:r>
        <w:rPr>
          <w:rFonts w:ascii="宋体" w:eastAsia="宋体" w:hAnsi="宋体" w:cs="宋体"/>
        </w:rPr>
        <w:t>到</w:t>
      </w:r>
      <w:r>
        <w:rPr>
          <w:rFonts w:ascii="宋体" w:eastAsia="宋体" w:hAnsi="宋体" w:cs="宋体"/>
          <w:lang w:val="en-US"/>
        </w:rPr>
        <w:t>70%</w:t>
      </w:r>
      <w:r>
        <w:rPr>
          <w:rFonts w:ascii="宋体" w:eastAsia="宋体" w:hAnsi="宋体" w:cs="宋体"/>
        </w:rPr>
        <w:t>，贷款能提供的资金额度上限为</w:t>
      </w:r>
      <w:r>
        <w:rPr>
          <w:rFonts w:ascii="宋体" w:eastAsia="宋体" w:hAnsi="宋体" w:cs="宋体"/>
          <w:lang w:val="en-US"/>
        </w:rPr>
        <w:t>200</w:t>
      </w:r>
      <w:r>
        <w:rPr>
          <w:rFonts w:ascii="宋体" w:eastAsia="宋体" w:hAnsi="宋体" w:cs="宋体"/>
        </w:rPr>
        <w:t>万，而且会伴随长期的利息压力，可能会出现公司利润都花在偿还巨额利息，辛苦</w:t>
      </w:r>
      <w:r>
        <w:rPr>
          <w:rFonts w:ascii="宋体" w:eastAsia="宋体" w:hAnsi="宋体" w:cs="宋体"/>
          <w:lang w:val="en-US"/>
        </w:rPr>
        <w:t>“</w:t>
      </w:r>
      <w:r>
        <w:rPr>
          <w:rFonts w:ascii="宋体" w:eastAsia="宋体" w:hAnsi="宋体" w:cs="宋体"/>
        </w:rPr>
        <w:t>替银行打工</w:t>
      </w:r>
      <w:r>
        <w:rPr>
          <w:rFonts w:ascii="宋体" w:eastAsia="宋体" w:hAnsi="宋体" w:cs="宋体"/>
          <w:lang w:val="en-US"/>
        </w:rPr>
        <w:t>”</w:t>
      </w:r>
      <w:r>
        <w:rPr>
          <w:rFonts w:ascii="宋体" w:eastAsia="宋体" w:hAnsi="宋体" w:cs="宋体"/>
        </w:rPr>
        <w:t>的情况。</w:t>
      </w:r>
    </w:p>
    <w:p w:rsidR="003A5CE8" w:rsidRDefault="007038D7">
      <w:pPr>
        <w:pStyle w:val="A5"/>
        <w:ind w:firstLine="480"/>
        <w:rPr>
          <w:rFonts w:ascii="宋体" w:eastAsia="宋体" w:hAnsi="宋体" w:cs="宋体"/>
        </w:rPr>
      </w:pPr>
      <w:r>
        <w:rPr>
          <w:rFonts w:ascii="宋体" w:eastAsia="宋体" w:hAnsi="宋体" w:cs="宋体"/>
        </w:rPr>
        <w:t>天使投资是针对企业发展早期的股权投资。天使投资人挖掘有潜在市场价值的初创企业，对其进行股权投资以期到时成功退出取得较高的投资回报。天使投资作为股权投资，不需抵押，不收利息；投资以后，部分天使还可以利用自己的商业资源，给初创公司带来更加开阔的视野和市场，这对于初创公司未来的进一步发展是十分有利的。而且天使投资对企业的资产负债表有一定的改善作用，可以扩大公司未来融资的杠杆基础。但股权融资会稀释公司的股权，管理者对公司的控制力将被削弱，天使投资的董事会成员对企业指手画脚的事情也时有发生。除此之外，天使投资往往还会伴随着一系列对赌协议与附加条款，给公司的发展造成一定的压力与限制。</w:t>
      </w:r>
    </w:p>
    <w:p w:rsidR="003A5CE8" w:rsidRDefault="007038D7">
      <w:pPr>
        <w:pStyle w:val="A5"/>
        <w:ind w:firstLine="480"/>
        <w:rPr>
          <w:rFonts w:ascii="宋体" w:eastAsia="宋体" w:hAnsi="宋体" w:cs="宋体"/>
        </w:rPr>
      </w:pPr>
      <w:r>
        <w:rPr>
          <w:rFonts w:ascii="宋体" w:eastAsia="宋体" w:hAnsi="宋体" w:cs="宋体"/>
        </w:rPr>
        <w:t>两种融资方式各有利弊，陈黎明所做出的第二个判断是：引进天使投资！他做出这个决策点原因有两点：第一，过高的杠杆和过重的财物成本，会拖垮一个高速发展的企业；第二，恰好天使投资者中有自己的大学同学，他们具有愉快合作的基础。基于此，精典博维接受了天使投资机构北京冷杉投资中心的天使资金。</w:t>
      </w:r>
    </w:p>
    <w:p w:rsidR="003A5CE8" w:rsidRDefault="007038D7">
      <w:pPr>
        <w:pStyle w:val="A5"/>
        <w:rPr>
          <w:rFonts w:ascii="宋体" w:eastAsia="宋体" w:hAnsi="宋体" w:cs="宋体"/>
        </w:rPr>
      </w:pPr>
      <w:r>
        <w:rPr>
          <w:rFonts w:ascii="宋体" w:eastAsia="宋体" w:hAnsi="宋体" w:cs="宋体"/>
        </w:rPr>
        <w:t>有了以上两个基本判断，陈黎明在其发展最为迅速的时期，将其精力分配在了两个方面：一边在资本市场上积极融资，一边在文化市场上左右突击。</w:t>
      </w:r>
    </w:p>
    <w:p w:rsidR="003A5CE8" w:rsidRDefault="007038D7">
      <w:pPr>
        <w:pStyle w:val="A5"/>
        <w:ind w:firstLine="480"/>
        <w:rPr>
          <w:rFonts w:ascii="宋体" w:eastAsia="宋体" w:hAnsi="宋体" w:cs="宋体"/>
        </w:rPr>
      </w:pPr>
      <w:r>
        <w:rPr>
          <w:rFonts w:ascii="宋体" w:eastAsia="宋体" w:hAnsi="宋体" w:cs="宋体"/>
        </w:rPr>
        <w:lastRenderedPageBreak/>
        <w:t>经过本轮融资，精典博维在投资和营运上的现金流压力得以缓解，业务上取得了比较大的发展：</w:t>
      </w:r>
    </w:p>
    <w:p w:rsidR="003A5CE8" w:rsidRDefault="007038D7">
      <w:pPr>
        <w:pStyle w:val="A5"/>
        <w:ind w:firstLine="480"/>
        <w:rPr>
          <w:rFonts w:ascii="宋体" w:eastAsia="宋体" w:hAnsi="宋体" w:cs="宋体"/>
        </w:rPr>
      </w:pPr>
      <w:r>
        <w:rPr>
          <w:rFonts w:ascii="宋体" w:eastAsia="宋体" w:hAnsi="宋体" w:cs="宋体"/>
        </w:rPr>
        <w:t>发展了报刊事业部。精典博维投标并最终赢得了《北京旅游》的出版发行。该杂志的成功发行，为公司拓展杂志业务，获取广告收入，打下了基础。此后，公司承办了世界旅游城市联合会主管的《世界城市旅游》杂志，高端商务杂志《创享》，以及《北京故事》杂志，并承办了《首都旅游》报和《天津旅游》报，4刊2报的报刊事业部得到了长足的发展。</w:t>
      </w:r>
    </w:p>
    <w:p w:rsidR="003A5CE8" w:rsidRDefault="007038D7">
      <w:pPr>
        <w:pStyle w:val="A5"/>
        <w:ind w:firstLine="480"/>
        <w:rPr>
          <w:rFonts w:ascii="宋体" w:eastAsia="宋体" w:hAnsi="宋体" w:cs="宋体"/>
        </w:rPr>
      </w:pPr>
      <w:r>
        <w:rPr>
          <w:rFonts w:ascii="宋体" w:eastAsia="宋体" w:hAnsi="宋体" w:cs="宋体"/>
        </w:rPr>
        <w:t>发展了名家经纪事业部。有了资金支持，公司的名家经纪取得突破性发展。收购贝塔斯曼，公司得以接触到了许多国内外一线作家，使得陈黎明意识到优秀版权资源的重要性，</w:t>
      </w:r>
      <w:r>
        <w:rPr>
          <w:rFonts w:hAnsi="华文宋体"/>
          <w:lang w:val="en-US"/>
        </w:rPr>
        <w:t>“</w:t>
      </w:r>
      <w:r>
        <w:rPr>
          <w:rFonts w:ascii="宋体" w:eastAsia="宋体" w:hAnsi="宋体" w:cs="宋体"/>
        </w:rPr>
        <w:t>名家经纪</w:t>
      </w:r>
      <w:r>
        <w:rPr>
          <w:rFonts w:hAnsi="华文宋体"/>
          <w:lang w:val="en-US"/>
        </w:rPr>
        <w:t>”</w:t>
      </w:r>
      <w:r>
        <w:rPr>
          <w:rFonts w:ascii="宋体" w:eastAsia="宋体" w:hAnsi="宋体" w:cs="宋体"/>
        </w:rPr>
        <w:t>业务就是源起于这个想法。通过与知名作家的经纪业务合作，获得优先与作家签约的机会。</w:t>
      </w:r>
      <w:r>
        <w:rPr>
          <w:rFonts w:ascii="Arial"/>
          <w:lang w:val="en-US"/>
        </w:rPr>
        <w:t>2012</w:t>
      </w:r>
      <w:r>
        <w:rPr>
          <w:rFonts w:ascii="宋体" w:eastAsia="宋体" w:hAnsi="宋体" w:cs="宋体"/>
        </w:rPr>
        <w:t>年，精典博维的</w:t>
      </w:r>
      <w:r>
        <w:rPr>
          <w:rFonts w:hAnsi="华文宋体"/>
          <w:lang w:val="en-US"/>
        </w:rPr>
        <w:t>“</w:t>
      </w:r>
      <w:r>
        <w:rPr>
          <w:rFonts w:ascii="宋体" w:eastAsia="宋体" w:hAnsi="宋体" w:cs="宋体"/>
        </w:rPr>
        <w:t>名家经纪</w:t>
      </w:r>
      <w:r>
        <w:rPr>
          <w:rFonts w:hAnsi="华文宋体"/>
          <w:lang w:val="en-US"/>
        </w:rPr>
        <w:t>”</w:t>
      </w:r>
      <w:r>
        <w:rPr>
          <w:rFonts w:ascii="宋体" w:eastAsia="宋体" w:hAnsi="宋体" w:cs="宋体"/>
        </w:rPr>
        <w:t>业务正式开展，以诚意的价格签约了莫言、阎连科、大江健三郎等知名作家（因商业原因略去具体签约费），负责名家的全方位经纪服务和作品销售等业务。</w:t>
      </w:r>
    </w:p>
    <w:p w:rsidR="003A5CE8" w:rsidRDefault="007038D7">
      <w:pPr>
        <w:pStyle w:val="A5"/>
        <w:ind w:firstLine="480"/>
        <w:rPr>
          <w:rFonts w:ascii="Arial" w:eastAsia="Arial" w:hAnsi="Arial" w:cs="Arial"/>
        </w:rPr>
      </w:pPr>
      <w:r>
        <w:rPr>
          <w:rFonts w:ascii="宋体" w:eastAsia="宋体" w:hAnsi="宋体" w:cs="宋体"/>
        </w:rPr>
        <w:t>不得不提的是以陈黎明为代表的公司决策层对于文学领域的深刻理解以及对当前产业发展阶段及其关键因素的准确把握。陈黎明凭借着自己对文学的独到见解和对市场的精准分析，在业务启动之初圈定了一份签约目标名单，其中最大的成功当属莫言。在与公司签约仅六个月后，从瑞典的斯德哥尔摩就传来了莫言获得诺贝尔文学奖的消息，陈黎明随即陪同莫言前往斯德歌尔摩领奖。就在确认获奖当天，</w:t>
      </w:r>
      <w:r>
        <w:rPr>
          <w:rFonts w:ascii="Arial"/>
          <w:lang w:val="en-US"/>
        </w:rPr>
        <w:t>19</w:t>
      </w:r>
      <w:r>
        <w:rPr>
          <w:rFonts w:ascii="宋体" w:eastAsia="宋体" w:hAnsi="宋体" w:cs="宋体"/>
        </w:rPr>
        <w:t>家投资机构找上门，表示了投资精典博维的意向。几乎同一时间签约的著名作家阎连科和麦家，也在文学艺术上和商业上，给精典博维带来了成功与光环。麦家的《风语》获得多项嘉奖，阎连科更是获得了2014年卡夫卡文学奖。经过一段时间的经营，在精典博维的版图中，已囊括了大江健三郎、莫言两位诺贝尔文学奖获得者，以及阎连科、麦家、阿来、安妮宝贝、海岩、饶雪漫、沧月等</w:t>
      </w:r>
      <w:r>
        <w:rPr>
          <w:rFonts w:ascii="Arial"/>
          <w:lang w:val="en-US"/>
        </w:rPr>
        <w:t>50</w:t>
      </w:r>
      <w:r>
        <w:rPr>
          <w:rFonts w:ascii="宋体" w:eastAsia="宋体" w:hAnsi="宋体" w:cs="宋体"/>
        </w:rPr>
        <w:t>多位知名作家。“名家经纪”是陈黎明在文化行业侵淫多年厚积薄发的创新业务，虽然这项创新业务也有一些薄弱面，但整体来说，完全可以称得上是一次成功的尝试。</w:t>
      </w:r>
    </w:p>
    <w:p w:rsidR="003A5CE8" w:rsidRDefault="003A5CE8">
      <w:pPr>
        <w:pStyle w:val="A5"/>
        <w:ind w:firstLine="480"/>
        <w:rPr>
          <w:rFonts w:ascii="Arial" w:eastAsia="Arial" w:hAnsi="Arial" w:cs="Arial"/>
        </w:rPr>
      </w:pPr>
    </w:p>
    <w:p w:rsidR="003A5CE8" w:rsidRDefault="003A5CE8">
      <w:pPr>
        <w:pStyle w:val="A5"/>
        <w:rPr>
          <w:rFonts w:ascii="Arial" w:eastAsia="Arial" w:hAnsi="Arial" w:cs="Arial"/>
        </w:rPr>
      </w:pPr>
    </w:p>
    <w:p w:rsidR="003A5CE8" w:rsidRDefault="007038D7">
      <w:pPr>
        <w:pStyle w:val="A5"/>
        <w:rPr>
          <w:rFonts w:ascii="宋体" w:eastAsia="宋体" w:hAnsi="宋体" w:cs="宋体"/>
          <w:b/>
          <w:bCs/>
          <w:sz w:val="30"/>
          <w:szCs w:val="30"/>
          <w:shd w:val="clear" w:color="auto" w:fill="C0C0C0"/>
        </w:rPr>
      </w:pPr>
      <w:r>
        <w:rPr>
          <w:rFonts w:ascii="宋体" w:eastAsia="宋体" w:hAnsi="宋体" w:cs="宋体"/>
          <w:b/>
          <w:bCs/>
          <w:sz w:val="30"/>
          <w:szCs w:val="30"/>
          <w:shd w:val="clear" w:color="auto" w:fill="C0C0C0"/>
        </w:rPr>
        <w:t>第四部分：停不下的融资脚步：连续多轮私募股权融资</w:t>
      </w:r>
    </w:p>
    <w:p w:rsidR="003A5CE8" w:rsidRDefault="003A5CE8">
      <w:pPr>
        <w:pStyle w:val="A5"/>
        <w:ind w:firstLine="480"/>
        <w:rPr>
          <w:rFonts w:ascii="Arial" w:eastAsia="Arial" w:hAnsi="Arial" w:cs="Arial"/>
        </w:rPr>
      </w:pP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广义的私募股权融资，是指企业上市公开发行募资之前各阶段的股权融资，包括向天使资本，风险资本（Ventual Capital)和私募资本(Private Equity)的融资。一般而言，天使投资和风险投资（与创业投资即创投内涵相同）更加早期，是对处于概念开发，种子培养，以及事业初创，试水市场时期的企业的投资。而私募股权，则更加集中于提供成熟企业的市场扩张流动资金、兼并收购资金及上市前的过桥资金。很多时候，私募资本也参与企业上市之后的定向增发。</w:t>
      </w:r>
    </w:p>
    <w:p w:rsidR="003A5CE8" w:rsidRDefault="007038D7">
      <w:pPr>
        <w:pStyle w:val="A5"/>
        <w:ind w:firstLine="480"/>
        <w:rPr>
          <w:rFonts w:ascii="宋体" w:eastAsia="宋体" w:hAnsi="宋体" w:cs="宋体"/>
        </w:rPr>
      </w:pPr>
      <w:r>
        <w:rPr>
          <w:rFonts w:ascii="宋体" w:eastAsia="宋体" w:hAnsi="宋体" w:cs="宋体"/>
        </w:rPr>
        <w:t>从现象上看，多数利用了天使投资的企业，会继续利用风投、创投和私募资本，这有其内在的逻辑。精典博维也走了多轮融资的道路。分析精典博维的多轮融资，可以了解企业的决策依据。</w:t>
      </w:r>
    </w:p>
    <w:p w:rsidR="003A5CE8" w:rsidRDefault="007038D7">
      <w:pPr>
        <w:pStyle w:val="A5"/>
        <w:ind w:firstLine="480"/>
        <w:rPr>
          <w:rFonts w:ascii="宋体" w:eastAsia="宋体" w:hAnsi="宋体" w:cs="宋体"/>
        </w:rPr>
      </w:pPr>
      <w:r>
        <w:rPr>
          <w:rFonts w:ascii="宋体" w:eastAsia="宋体" w:hAnsi="宋体" w:cs="宋体"/>
        </w:rPr>
        <w:t>精典博维引进天使投资后，伴随着新的规划与业务规模扩大，新一轮的资金压力自然而然的到来。在原有业务资金需求的基础上，新签约名家的签约</w:t>
      </w:r>
      <w:r>
        <w:rPr>
          <w:rFonts w:ascii="宋体" w:eastAsia="宋体" w:hAnsi="宋体" w:cs="宋体"/>
        </w:rPr>
        <w:lastRenderedPageBreak/>
        <w:t>费、图书发行量扩大和报刊业务扩大带来的占款，人才引进带来的人力资本增加，以及办公室扩大和24小时博书屋的建设成本，都给企业带来更大的资金需求，需要一轮又一轮的融资来支撑，直到企业上市。</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沉重的资金负担来自于快速的业务扩张。这里有一个潜在的选择：精典博维真的需要这么快的业务增长吗？真的需要这么多面的业务开拓吗？企业可不可以放慢脚步，慢慢消化自身成长带来的急迫性？陈黎明对这一系列问题的回答是：不可以慢！</w:t>
      </w:r>
    </w:p>
    <w:p w:rsidR="003A5CE8" w:rsidRDefault="007038D7">
      <w:pPr>
        <w:pStyle w:val="A5"/>
        <w:ind w:firstLine="480"/>
        <w:rPr>
          <w:rFonts w:ascii="宋体" w:eastAsia="宋体" w:hAnsi="宋体" w:cs="宋体"/>
        </w:rPr>
      </w:pPr>
      <w:r>
        <w:rPr>
          <w:rFonts w:ascii="宋体" w:eastAsia="宋体" w:hAnsi="宋体" w:cs="宋体"/>
        </w:rPr>
        <w:t>为什么不可以慢？分两个方面。第一个原因是企业必须抓住文化产业发展的机遇。当风来的时候，必须张开翅膀。第二个原因，是股权融资自身的逻辑，资本不允许企业停下来。装上了资本的发动机，就像机动车一样，确实是可以帮助企业迅速赶超人力马力。但是，驾驭资本却不是企业家一个人的事情。企业家可以踩油门，掌方向盘，但刹车不在自己脚下。</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激励企业家不断踩油门的一个激励机制是私募股权投资中的对赌条款，几乎每一个股权融资都有此条款。对赌条款是消除投资人和被投资人信息不对称的有效条款，为的是防止企业为获得高估值而隐瞒企业真实财务状况，或过高预期融资后的市场开拓和盈利状况。若企业不能达到其承诺的指标，投资者就可以选择执行某项约定的权利，可以包括：调低估值，获取更多股份或让企业呢返还现金；增加投资人的董事席位；赎回或部分赎回投资。可见，对赌是投资人的看跌期权。根据行业的不同，对赌的标的有利润、利润增长率、销售增长率等。</w:t>
      </w:r>
    </w:p>
    <w:p w:rsidR="003A5CE8" w:rsidRDefault="007038D7">
      <w:pPr>
        <w:pStyle w:val="A5"/>
        <w:ind w:firstLine="480"/>
        <w:rPr>
          <w:rFonts w:ascii="宋体" w:eastAsia="宋体" w:hAnsi="宋体" w:cs="宋体"/>
        </w:rPr>
      </w:pPr>
      <w:r>
        <w:rPr>
          <w:rFonts w:ascii="宋体" w:eastAsia="宋体" w:hAnsi="宋体" w:cs="宋体"/>
        </w:rPr>
        <w:t>虽然对赌协议会令企业家将各种预期尽量调至理性状态，但是面对广大的市场机遇，“赌一把”的心态也是双刃剑。精典博维从来没有被保守的思想束缚过，所以也就一直在寻找利润爆发点的过程中竭尽全力与资本相互追逐。针对精典博维的产业特征，精典博维每一次的私募股权融资签立的对赌协议，都是赌利润。越大的利润（Earning），越大的P/E（Price/Earning），得到越高的估值，获得越多的资金，反过来，也就要求精典博维完成越高的利润。</w:t>
      </w:r>
    </w:p>
    <w:p w:rsidR="003A5CE8" w:rsidRDefault="007038D7">
      <w:pPr>
        <w:pStyle w:val="A5"/>
        <w:ind w:firstLine="480"/>
        <w:rPr>
          <w:rFonts w:ascii="宋体" w:eastAsia="宋体" w:hAnsi="宋体" w:cs="宋体"/>
        </w:rPr>
      </w:pPr>
      <w:r>
        <w:rPr>
          <w:rFonts w:ascii="宋体" w:eastAsia="宋体" w:hAnsi="宋体" w:cs="宋体"/>
        </w:rPr>
        <w:t>按照陈黎明的总结，在文化产业，利润爆发点必然不存在于传统的复制。它要么来自于把握市场动向、引领消费风气的开拓性业务，要么来自于市场本身的重大变革。前者要不怕试错，敢于投入，这显然需要资金支持；后者则要做强做大自身优势，并能一直维持运转等到时机来临，这毫无疑问除了需要运气，还需更多的资金来支撑。自从陈黎明做出了引入冷杉投资的决策，精典博维就在融资、开拓、再融资、再开拓的停不下来的脚步中飞奔。陈黎明自己总结这种停不下来的融资脚步时对人大学子的说：引入私募资本之前，自己虽有理想，却也只需要完成对家庭的责任，但是引入私募资本之后，自己的理想得到更多朋友的支持，更多员工的支持，甚至国家的支持，同时也就承担了更大的责任：对员工对责任，对投资人的责任，对社会的责任。自己和家庭的生活安逸就被放在了很后面很后面的位置，甚至可以忽略不计。</w:t>
      </w:r>
    </w:p>
    <w:p w:rsidR="003A5CE8" w:rsidRDefault="003A5CE8">
      <w:pPr>
        <w:pStyle w:val="A5"/>
        <w:ind w:firstLine="480"/>
        <w:rPr>
          <w:rFonts w:ascii="宋体" w:eastAsia="宋体" w:hAnsi="宋体" w:cs="宋体"/>
        </w:rPr>
      </w:pPr>
    </w:p>
    <w:p w:rsidR="003A5CE8" w:rsidRDefault="007038D7">
      <w:pPr>
        <w:pStyle w:val="A5"/>
        <w:ind w:firstLine="480"/>
        <w:rPr>
          <w:rFonts w:ascii="Arial" w:eastAsia="Arial" w:hAnsi="Arial" w:cs="Arial"/>
        </w:rPr>
      </w:pPr>
      <w:r>
        <w:rPr>
          <w:rFonts w:ascii="宋体" w:eastAsia="宋体" w:hAnsi="宋体" w:cs="宋体"/>
        </w:rPr>
        <w:t>在这里需要介绍一下博书屋。</w:t>
      </w:r>
      <w:r>
        <w:rPr>
          <w:rFonts w:ascii="Arial"/>
          <w:lang w:val="en-US"/>
        </w:rPr>
        <w:t>2012</w:t>
      </w:r>
      <w:r>
        <w:rPr>
          <w:rFonts w:ascii="宋体" w:eastAsia="宋体" w:hAnsi="宋体" w:cs="宋体"/>
        </w:rPr>
        <w:t>年，精典博维的</w:t>
      </w:r>
      <w:r>
        <w:rPr>
          <w:rFonts w:hAnsi="华文宋体"/>
          <w:lang w:val="en-US"/>
        </w:rPr>
        <w:t>“</w:t>
      </w:r>
      <w:r>
        <w:rPr>
          <w:rFonts w:ascii="Arial"/>
          <w:lang w:val="en-US"/>
        </w:rPr>
        <w:t>24</w:t>
      </w:r>
      <w:r>
        <w:rPr>
          <w:rFonts w:ascii="宋体" w:eastAsia="宋体" w:hAnsi="宋体" w:cs="宋体"/>
        </w:rPr>
        <w:t>小时博书屋</w:t>
      </w:r>
      <w:r>
        <w:rPr>
          <w:rFonts w:hAnsi="华文宋体"/>
          <w:lang w:val="en-US"/>
        </w:rPr>
        <w:t>”</w:t>
      </w:r>
      <w:r>
        <w:rPr>
          <w:rFonts w:eastAsia="华文宋体" w:hint="eastAsia"/>
        </w:rPr>
        <w:t>开始投入建设</w:t>
      </w:r>
      <w:r>
        <w:rPr>
          <w:rFonts w:ascii="宋体" w:eastAsia="宋体" w:hAnsi="宋体" w:cs="宋体"/>
        </w:rPr>
        <w:t>。这是一项饱受争议的决策。全球实体书店在互联网商业模式的冲击下艰难求存乃至纷纷停业的时刻，精典博维启动了自己的实体书店计划。</w:t>
      </w:r>
      <w:r>
        <w:rPr>
          <w:rFonts w:hAnsi="华文宋体"/>
          <w:lang w:val="en-US"/>
        </w:rPr>
        <w:t>“</w:t>
      </w:r>
      <w:r>
        <w:rPr>
          <w:rFonts w:ascii="Arial"/>
          <w:lang w:val="en-US"/>
        </w:rPr>
        <w:t>24</w:t>
      </w:r>
      <w:r>
        <w:rPr>
          <w:rFonts w:ascii="宋体" w:eastAsia="宋体" w:hAnsi="宋体" w:cs="宋体"/>
        </w:rPr>
        <w:t>小时博书屋</w:t>
      </w:r>
      <w:r>
        <w:rPr>
          <w:rFonts w:hAnsi="华文宋体"/>
          <w:lang w:val="en-US"/>
        </w:rPr>
        <w:t>”</w:t>
      </w:r>
      <w:r>
        <w:rPr>
          <w:rFonts w:ascii="宋体" w:eastAsia="宋体" w:hAnsi="宋体" w:cs="宋体"/>
        </w:rPr>
        <w:t>作为首家民营</w:t>
      </w:r>
      <w:r>
        <w:rPr>
          <w:rFonts w:ascii="Arial"/>
          <w:lang w:val="en-US"/>
        </w:rPr>
        <w:t>24</w:t>
      </w:r>
      <w:r>
        <w:rPr>
          <w:rFonts w:ascii="宋体" w:eastAsia="宋体" w:hAnsi="宋体" w:cs="宋体"/>
        </w:rPr>
        <w:t>小时实体书店，意图将图书、数字阅读、</w:t>
      </w:r>
      <w:r>
        <w:rPr>
          <w:rFonts w:ascii="宋体" w:eastAsia="宋体" w:hAnsi="宋体" w:cs="宋体"/>
        </w:rPr>
        <w:lastRenderedPageBreak/>
        <w:t>小剧场、咖啡吧、名家讲堂、艺术品展示等融于一体，形成传统与现代结合的多元化文化空间。但这种以文化为重的商业，往往需要政府的支持才能维持，否则只能由企业自己贴钱支撑。该书屋在争议中开始建设，2015年终于开业。</w:t>
      </w:r>
    </w:p>
    <w:p w:rsidR="003A5CE8" w:rsidRDefault="003A5CE8">
      <w:pPr>
        <w:pStyle w:val="A5"/>
        <w:ind w:firstLine="480"/>
        <w:rPr>
          <w:rFonts w:ascii="Arial" w:eastAsia="Arial" w:hAnsi="Arial" w:cs="Arial"/>
        </w:rPr>
      </w:pPr>
    </w:p>
    <w:p w:rsidR="003A5CE8" w:rsidRDefault="007038D7">
      <w:pPr>
        <w:pStyle w:val="A5"/>
        <w:ind w:firstLine="480"/>
        <w:rPr>
          <w:rFonts w:ascii="宋体" w:eastAsia="宋体" w:hAnsi="宋体" w:cs="宋体"/>
          <w:kern w:val="0"/>
        </w:rPr>
      </w:pPr>
      <w:r>
        <w:rPr>
          <w:rFonts w:ascii="宋体" w:eastAsia="宋体" w:hAnsi="宋体" w:cs="宋体"/>
        </w:rPr>
        <w:t>随着融资与融资带来的业务发展，精典博维的估值飞快增长，</w:t>
      </w:r>
      <w:r>
        <w:rPr>
          <w:rFonts w:ascii="宋体" w:eastAsia="宋体" w:hAnsi="宋体" w:cs="宋体"/>
          <w:kern w:val="0"/>
        </w:rPr>
        <w:t>进一步融资的可行选择范围扩大，主要可考虑的方式有风险投资（</w:t>
      </w:r>
      <w:r>
        <w:rPr>
          <w:rFonts w:ascii="宋体" w:eastAsia="宋体" w:hAnsi="宋体" w:cs="宋体"/>
          <w:kern w:val="0"/>
          <w:lang w:val="en-US"/>
        </w:rPr>
        <w:t>VC</w:t>
      </w:r>
      <w:r>
        <w:rPr>
          <w:rFonts w:ascii="宋体" w:eastAsia="宋体" w:hAnsi="宋体" w:cs="宋体"/>
          <w:kern w:val="0"/>
        </w:rPr>
        <w:t>）、私募股权投资（</w:t>
      </w:r>
      <w:r>
        <w:rPr>
          <w:rFonts w:ascii="宋体" w:eastAsia="宋体" w:hAnsi="宋体" w:cs="宋体"/>
          <w:kern w:val="0"/>
          <w:lang w:val="en-US"/>
        </w:rPr>
        <w:t>PE</w:t>
      </w:r>
      <w:r>
        <w:rPr>
          <w:rFonts w:ascii="宋体" w:eastAsia="宋体" w:hAnsi="宋体" w:cs="宋体"/>
          <w:kern w:val="0"/>
        </w:rPr>
        <w:t>）和银行贷款。</w:t>
      </w:r>
    </w:p>
    <w:p w:rsidR="003A5CE8" w:rsidRDefault="007038D7">
      <w:pPr>
        <w:pStyle w:val="A5"/>
        <w:ind w:firstLine="480"/>
        <w:rPr>
          <w:rFonts w:ascii="宋体" w:eastAsia="宋体" w:hAnsi="宋体" w:cs="宋体"/>
          <w:kern w:val="0"/>
        </w:rPr>
      </w:pPr>
      <w:r>
        <w:rPr>
          <w:rFonts w:ascii="宋体" w:eastAsia="宋体" w:hAnsi="宋体" w:cs="宋体"/>
          <w:kern w:val="0"/>
        </w:rPr>
        <w:t>尽管如此，相对于银行贷款的审批条件、贷款上限、利息压力和对资产负债表的不良影响，接受</w:t>
      </w:r>
      <w:r>
        <w:rPr>
          <w:rFonts w:ascii="宋体" w:eastAsia="宋体" w:hAnsi="宋体" w:cs="宋体"/>
          <w:kern w:val="0"/>
          <w:lang w:val="en-US"/>
        </w:rPr>
        <w:t>VC</w:t>
      </w:r>
      <w:r>
        <w:rPr>
          <w:rFonts w:ascii="宋体" w:eastAsia="宋体" w:hAnsi="宋体" w:cs="宋体"/>
          <w:kern w:val="0"/>
        </w:rPr>
        <w:t>或者</w:t>
      </w:r>
      <w:r>
        <w:rPr>
          <w:rFonts w:ascii="宋体" w:eastAsia="宋体" w:hAnsi="宋体" w:cs="宋体"/>
          <w:kern w:val="0"/>
          <w:lang w:val="en-US"/>
        </w:rPr>
        <w:t>PE</w:t>
      </w:r>
      <w:r>
        <w:rPr>
          <w:rFonts w:ascii="宋体" w:eastAsia="宋体" w:hAnsi="宋体" w:cs="宋体"/>
          <w:kern w:val="0"/>
        </w:rPr>
        <w:t>对精典博维来说仍然更具可行性和合理性。因此精典博维接受了投资机构及个人的资金，再次进行了第二、三轮的融资。杭州文广创业投资有限公司等多家私募股权投资参与了精典博维第二、三轮的融资。</w:t>
      </w:r>
    </w:p>
    <w:p w:rsidR="003A5CE8" w:rsidRDefault="007038D7">
      <w:pPr>
        <w:pStyle w:val="A5"/>
        <w:ind w:firstLine="480"/>
        <w:rPr>
          <w:rFonts w:ascii="Arial" w:eastAsia="Arial" w:hAnsi="Arial" w:cs="Arial"/>
        </w:rPr>
      </w:pPr>
      <w:r>
        <w:rPr>
          <w:rFonts w:ascii="宋体" w:eastAsia="宋体" w:hAnsi="宋体" w:cs="宋体"/>
          <w:kern w:val="0"/>
        </w:rPr>
        <w:t>这两轮融资支持了精典博维旅游传媒的发展，缓解了其旗下《北京旅游》、《世界城市旅游》等杂志的营运成本达压力。而</w:t>
      </w:r>
      <w:r>
        <w:rPr>
          <w:rFonts w:ascii="宋体" w:eastAsia="宋体" w:hAnsi="宋体" w:cs="宋体"/>
        </w:rPr>
        <w:t>精典博维又决定进一步扩张业务范围，将业务延伸至了互联网产业与数字传媒领域。</w:t>
      </w:r>
    </w:p>
    <w:p w:rsidR="003A5CE8" w:rsidRDefault="007038D7">
      <w:pPr>
        <w:pStyle w:val="A5"/>
        <w:ind w:firstLine="480"/>
        <w:rPr>
          <w:rFonts w:ascii="Arial" w:eastAsia="Arial" w:hAnsi="Arial" w:cs="Arial"/>
        </w:rPr>
      </w:pPr>
      <w:r>
        <w:rPr>
          <w:rFonts w:ascii="宋体" w:eastAsia="宋体" w:hAnsi="宋体" w:cs="宋体"/>
        </w:rPr>
        <w:t>如前文所述，传统的图书出版与杂志发行，毛利率通常在</w:t>
      </w:r>
      <w:r>
        <w:rPr>
          <w:rFonts w:ascii="Arial"/>
          <w:lang w:val="en-US"/>
        </w:rPr>
        <w:t>20%</w:t>
      </w:r>
      <w:r>
        <w:rPr>
          <w:rFonts w:ascii="宋体" w:eastAsia="宋体" w:hAnsi="宋体" w:cs="宋体"/>
        </w:rPr>
        <w:t>到</w:t>
      </w:r>
      <w:r>
        <w:rPr>
          <w:rFonts w:ascii="Arial"/>
          <w:lang w:val="en-US"/>
        </w:rPr>
        <w:t>30%</w:t>
      </w:r>
      <w:r>
        <w:rPr>
          <w:rFonts w:ascii="宋体" w:eastAsia="宋体" w:hAnsi="宋体" w:cs="宋体"/>
        </w:rPr>
        <w:t>之间，而在互联网尤其是移动互联网企业中，制作和发行的数字阅读、游戏、动漫等产品的毛利率超过</w:t>
      </w:r>
      <w:r>
        <w:rPr>
          <w:rFonts w:ascii="Arial"/>
          <w:lang w:val="en-US"/>
        </w:rPr>
        <w:t>80%</w:t>
      </w:r>
      <w:r>
        <w:rPr>
          <w:rFonts w:ascii="宋体" w:eastAsia="宋体" w:hAnsi="宋体" w:cs="宋体"/>
        </w:rPr>
        <w:t>的比比皆是。因此，传统的出版传媒企业选择互联网作为新业务的增长点是一种普遍趋势。因而精典博维建立了以半壁江山中文网和明月阁小说网为基础的互联网事业部，负责原创文学、品牌运营、文化垂直门户、移动阅读和衍生版权五大业务。</w:t>
      </w:r>
    </w:p>
    <w:p w:rsidR="003A5CE8" w:rsidRDefault="007038D7">
      <w:pPr>
        <w:pStyle w:val="A5"/>
        <w:ind w:firstLine="480"/>
        <w:rPr>
          <w:rFonts w:ascii="Arial" w:eastAsia="Arial" w:hAnsi="Arial" w:cs="Arial"/>
        </w:rPr>
      </w:pPr>
      <w:r>
        <w:rPr>
          <w:rFonts w:ascii="宋体" w:eastAsia="宋体" w:hAnsi="宋体" w:cs="宋体"/>
        </w:rPr>
        <w:t>剧本开发是在开拓数字传媒领域思想下精典博维做出的另一个尝试，公司目前已与浙江华策影视股份有限公司等建立了稳固的合作关系，开始进军动漫与影视领域。精典博维旗下汇聚了作家、画家、书法家、行业领头人等资源，随着影视市场的火热，对电影和电视的改编作品越来越多，很多剧本公司未来需要储备大量剧本资源，精典博维跟作家一起改编剧本，同时做版权投资。</w:t>
      </w:r>
    </w:p>
    <w:p w:rsidR="003A5CE8" w:rsidRDefault="007038D7">
      <w:pPr>
        <w:pStyle w:val="A5"/>
        <w:ind w:firstLine="480"/>
        <w:rPr>
          <w:rFonts w:ascii="Arial" w:eastAsia="Arial" w:hAnsi="Arial" w:cs="Arial"/>
        </w:rPr>
      </w:pPr>
      <w:r>
        <w:rPr>
          <w:rFonts w:ascii="Arial"/>
          <w:lang w:val="en-US"/>
        </w:rPr>
        <w:t>2013</w:t>
      </w:r>
      <w:r>
        <w:rPr>
          <w:rFonts w:ascii="宋体" w:eastAsia="宋体" w:hAnsi="宋体" w:cs="宋体"/>
        </w:rPr>
        <w:t>年是精典博维跑马圈地的一年，陈黎明试着把一个纸质出版机构变成一个传媒平台。在对精典博维董事长陈黎明先生的采访中，他这样表达自己对公司未来发展的规划，是要以</w:t>
      </w:r>
      <w:r>
        <w:rPr>
          <w:rFonts w:hAnsi="Times New Roman"/>
          <w:lang w:val="en-US"/>
        </w:rPr>
        <w:t>“</w:t>
      </w:r>
      <w:r>
        <w:rPr>
          <w:rFonts w:ascii="宋体" w:eastAsia="宋体" w:hAnsi="宋体" w:cs="宋体"/>
        </w:rPr>
        <w:t>文化创意为核心，不局限于出版行业内部，向整个文化产业立体铺开，多行业共同开发</w:t>
      </w:r>
      <w:r>
        <w:rPr>
          <w:rFonts w:hAnsi="Times New Roman"/>
          <w:lang w:val="en-US"/>
        </w:rPr>
        <w:t>”</w:t>
      </w:r>
      <w:r>
        <w:rPr>
          <w:rFonts w:ascii="宋体" w:eastAsia="宋体" w:hAnsi="宋体" w:cs="宋体"/>
        </w:rPr>
        <w:t>。</w:t>
      </w:r>
    </w:p>
    <w:p w:rsidR="003A5CE8" w:rsidRDefault="007038D7">
      <w:pPr>
        <w:pStyle w:val="A5"/>
        <w:ind w:firstLine="480"/>
        <w:rPr>
          <w:rFonts w:ascii="宋体" w:eastAsia="宋体" w:hAnsi="宋体" w:cs="宋体"/>
          <w:kern w:val="0"/>
        </w:rPr>
      </w:pPr>
      <w:r>
        <w:rPr>
          <w:rFonts w:ascii="宋体" w:eastAsia="宋体" w:hAnsi="宋体" w:cs="宋体"/>
          <w:kern w:val="0"/>
        </w:rPr>
        <w:t>然而，大量的政府的长周期合同带来的巨大营运成本压力有增无减，</w:t>
      </w:r>
      <w:r>
        <w:rPr>
          <w:rFonts w:ascii="宋体" w:eastAsia="宋体" w:hAnsi="宋体" w:cs="宋体"/>
          <w:kern w:val="0"/>
          <w:lang w:val="en-US"/>
        </w:rPr>
        <w:t>24</w:t>
      </w:r>
      <w:r>
        <w:rPr>
          <w:rFonts w:ascii="宋体" w:eastAsia="宋体" w:hAnsi="宋体" w:cs="宋体"/>
          <w:kern w:val="0"/>
        </w:rPr>
        <w:t>小时博书屋等固定资产建设投入不断，此时精典博维仅靠留存收益是无法支持公司的爆发式增长的。同时，此前的融资过程中签订的各种对赌协议也如达摩克利斯之剑悬在头顶。二三轮融资刚刚落定，新一轮的资金压力又扑面而来。</w:t>
      </w:r>
    </w:p>
    <w:p w:rsidR="003A5CE8" w:rsidRDefault="007038D7">
      <w:pPr>
        <w:pStyle w:val="B"/>
        <w:rPr>
          <w:rFonts w:ascii="宋体" w:eastAsia="宋体" w:hAnsi="宋体" w:cs="宋体" w:hint="default"/>
          <w:kern w:val="2"/>
        </w:rPr>
      </w:pPr>
      <w:r>
        <w:rPr>
          <w:rFonts w:ascii="宋体" w:eastAsia="宋体" w:hAnsi="宋体" w:cs="宋体"/>
          <w:kern w:val="2"/>
        </w:rPr>
        <w:t xml:space="preserve">    让我们回顾一下精典博维的融资历程，2011年8月，北京冷杉投资中心（有限合伙）对精典博维进行了一轮投资，占股百分之十左右，精典博维注册资本总额变为262.5元。2012年9月，博大创投、某杭州投资人、陈黎明的同学成立的一只基金几乎同时与精典博维签订投资协议，三者占股10％左右，并在10月份打款确认投资，随后做了工商变更。其中，博大创投投资500万元，占股3％-4％左右，粗略估算，精典博维当时的估值不超过1.6亿元。2013年5月，文广创投等又对精典博维进行了第三轮投资，6月北京瑞益创享文化投资中心（有限合伙）、北京科桥成长创业投资中心（有限合伙）等又对精典博维进行了大额的投资，同时冷杉成功退出。到2013年9月为止，精典博维的实收资本已由最开始注册时的200万，增长到2000万。随着不断的融资与发展，精典</w:t>
      </w:r>
      <w:r>
        <w:rPr>
          <w:rFonts w:ascii="宋体" w:eastAsia="宋体" w:hAnsi="宋体" w:cs="宋体"/>
          <w:kern w:val="2"/>
        </w:rPr>
        <w:lastRenderedPageBreak/>
        <w:t>博维的估值也在不断增长，截至收到华媒控股收购的邀请时，公司估值增长到了3亿左右。</w:t>
      </w:r>
    </w:p>
    <w:p w:rsidR="003A5CE8" w:rsidRDefault="007038D7">
      <w:pPr>
        <w:pStyle w:val="A5"/>
        <w:ind w:firstLine="480"/>
        <w:rPr>
          <w:rFonts w:ascii="宋体" w:eastAsia="宋体" w:hAnsi="宋体" w:cs="宋体"/>
          <w:kern w:val="0"/>
        </w:rPr>
      </w:pPr>
      <w:r>
        <w:rPr>
          <w:rFonts w:ascii="宋体" w:eastAsia="宋体" w:hAnsi="宋体" w:cs="宋体"/>
          <w:kern w:val="0"/>
        </w:rPr>
        <w:t>一轮又一轮的资金压力接力袭来，精典博维的融资的需求像是被上了发条，开始了就停不下来。然而此时，这个体量远不似当初的公司所面对的问题，答案早已经不像最初一样简单，精典博维迎来了更加困难的选择。</w:t>
      </w:r>
    </w:p>
    <w:p w:rsidR="003A5CE8" w:rsidRDefault="003A5CE8">
      <w:pPr>
        <w:pStyle w:val="A5"/>
        <w:ind w:firstLine="480"/>
        <w:rPr>
          <w:rFonts w:ascii="宋体" w:eastAsia="宋体" w:hAnsi="宋体" w:cs="宋体"/>
          <w:kern w:val="0"/>
        </w:rPr>
      </w:pPr>
    </w:p>
    <w:p w:rsidR="003A5CE8" w:rsidRDefault="003A5CE8">
      <w:pPr>
        <w:pStyle w:val="A5"/>
        <w:rPr>
          <w:rFonts w:ascii="Arial" w:eastAsia="Arial" w:hAnsi="Arial" w:cs="Arial"/>
        </w:rPr>
      </w:pPr>
    </w:p>
    <w:p w:rsidR="003A5CE8" w:rsidRDefault="007038D7">
      <w:pPr>
        <w:pStyle w:val="A5"/>
        <w:rPr>
          <w:rFonts w:ascii="宋体" w:eastAsia="宋体" w:hAnsi="宋体" w:cs="宋体"/>
          <w:b/>
          <w:bCs/>
          <w:shd w:val="clear" w:color="auto" w:fill="C0C0C0"/>
        </w:rPr>
      </w:pPr>
      <w:r>
        <w:rPr>
          <w:rFonts w:ascii="宋体" w:eastAsia="宋体" w:hAnsi="宋体" w:cs="宋体"/>
          <w:b/>
          <w:bCs/>
          <w:sz w:val="30"/>
          <w:szCs w:val="30"/>
          <w:shd w:val="clear" w:color="auto" w:fill="C0C0C0"/>
        </w:rPr>
        <w:t>第五部分：最后的融资决策：是否接受被收购上市？</w:t>
      </w:r>
    </w:p>
    <w:p w:rsidR="003A5CE8" w:rsidRDefault="003A5CE8">
      <w:pPr>
        <w:pStyle w:val="A5"/>
        <w:rPr>
          <w:rFonts w:ascii="宋体" w:eastAsia="宋体" w:hAnsi="宋体" w:cs="宋体"/>
          <w:b/>
          <w:bCs/>
          <w:shd w:val="clear" w:color="auto" w:fill="C0C0C0"/>
        </w:rPr>
      </w:pPr>
    </w:p>
    <w:p w:rsidR="003A5CE8" w:rsidRDefault="003A5CE8">
      <w:pPr>
        <w:pStyle w:val="A5"/>
        <w:rPr>
          <w:b/>
          <w:bCs/>
        </w:rPr>
      </w:pPr>
    </w:p>
    <w:p w:rsidR="003A5CE8" w:rsidRDefault="007038D7">
      <w:pPr>
        <w:pStyle w:val="A5"/>
        <w:ind w:firstLine="480"/>
        <w:rPr>
          <w:rFonts w:ascii="宋体" w:eastAsia="宋体" w:hAnsi="宋体" w:cs="宋体"/>
        </w:rPr>
      </w:pPr>
      <w:r>
        <w:rPr>
          <w:rFonts w:ascii="宋体" w:eastAsia="宋体" w:hAnsi="宋体" w:cs="宋体"/>
        </w:rPr>
        <w:t>走到了这个地方的精典博维，面对的已经不仅仅是融资的压力，此时摆在董事长陈黎明面前最亟需解决的问题，是投资者的退出压力。</w:t>
      </w:r>
    </w:p>
    <w:p w:rsidR="003A5CE8" w:rsidRDefault="007038D7">
      <w:pPr>
        <w:pStyle w:val="A5"/>
        <w:ind w:firstLine="480"/>
        <w:rPr>
          <w:rFonts w:ascii="宋体" w:eastAsia="宋体" w:hAnsi="宋体" w:cs="宋体"/>
        </w:rPr>
      </w:pPr>
      <w:r>
        <w:rPr>
          <w:rFonts w:ascii="宋体" w:eastAsia="宋体" w:hAnsi="宋体" w:cs="宋体"/>
        </w:rPr>
        <w:t>风险投资本质上是一种追逐高利润、高回报的金融资本。风险投资的目的不是单纯为了获取股息而长期持有风险企业股份的投资行为，而是通过退出投资赚取与之承担的高风险相对应的高额利润。因而，精典博维发展至今，就不得不面对投资者们退出的诉求。</w:t>
      </w:r>
    </w:p>
    <w:p w:rsidR="003A5CE8" w:rsidRDefault="007038D7">
      <w:pPr>
        <w:pStyle w:val="A5"/>
        <w:ind w:firstLine="480"/>
        <w:rPr>
          <w:rFonts w:ascii="宋体" w:eastAsia="宋体" w:hAnsi="宋体" w:cs="宋体"/>
        </w:rPr>
      </w:pPr>
      <w:r>
        <w:rPr>
          <w:rFonts w:ascii="宋体" w:eastAsia="宋体" w:hAnsi="宋体" w:cs="宋体"/>
        </w:rPr>
        <w:t>投资者退出的主要方式有上市、股权转让、并购、回购和清算。此时精典博维可选择的风险投资的退出方式主要有两种：上市和并购。</w:t>
      </w:r>
    </w:p>
    <w:p w:rsidR="003A5CE8" w:rsidRDefault="007038D7">
      <w:pPr>
        <w:pStyle w:val="A5"/>
        <w:ind w:firstLine="480"/>
        <w:rPr>
          <w:rFonts w:ascii="宋体" w:eastAsia="宋体" w:hAnsi="宋体" w:cs="宋体"/>
        </w:rPr>
      </w:pPr>
      <w:r>
        <w:rPr>
          <w:rFonts w:ascii="宋体" w:eastAsia="宋体" w:hAnsi="宋体" w:cs="宋体"/>
        </w:rPr>
        <w:t>上市是通过将企业的股份首次向社会公众公开发行退出。这种情况下，风险资本一般会持有风险企业的股份直到公开发行，实现利润锁定，并且再将其投资所获得的利润分配给风险资本的投资者。而对于精典博维，上市又有</w:t>
      </w:r>
      <w:r>
        <w:rPr>
          <w:rFonts w:ascii="Times New Roman"/>
          <w:lang w:val="en-US"/>
        </w:rPr>
        <w:t>A</w:t>
      </w:r>
      <w:r>
        <w:rPr>
          <w:rFonts w:ascii="宋体" w:eastAsia="宋体" w:hAnsi="宋体" w:cs="宋体"/>
        </w:rPr>
        <w:t>股上市和新三板上市两个选择。</w:t>
      </w:r>
      <w:r>
        <w:rPr>
          <w:rFonts w:ascii="Times New Roman"/>
          <w:lang w:val="en-US"/>
        </w:rPr>
        <w:t>A</w:t>
      </w:r>
      <w:r>
        <w:rPr>
          <w:rFonts w:ascii="宋体" w:eastAsia="宋体" w:hAnsi="宋体" w:cs="宋体"/>
        </w:rPr>
        <w:t>股上市相对于新三板上市更便于筹措新资金有效改善财务状况，股权自由流通转让有利于股权分散化，也有利于提高公司声望。但是缺点也十分明显：上市成本较高，对公司财务指标要求严格，手续复杂，挂牌时间漫长。新三板市场的优势也很明显，作为进入主板市场的快速通道，新三板门槛相对低了很多，对挂牌企业没有明确的财务指标要求，审批相对宽松，挂牌时间快，成本低，上市后还可以通过抵押股权获得融资、贷款，同时精典博维所在的北京市西城区政府还对新三板上市表示了一些列政策上的大力支持。但新三板上市也有其缺点，新三板融资额相对偏低，而且新三板公司的上市股票在三板市场上，流动性不高，后续融资比较困难。</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rPr>
        <w:t>并购有三种类型，一是被上</w:t>
      </w:r>
      <w:r>
        <w:rPr>
          <w:rFonts w:ascii="宋体" w:eastAsia="宋体" w:hAnsi="宋体" w:cs="宋体"/>
          <w:color w:val="111111"/>
          <w:kern w:val="0"/>
          <w:u w:color="111111"/>
          <w:shd w:val="clear" w:color="auto" w:fill="FFFFFF"/>
        </w:rPr>
        <w:t>市公司收购。通过被上市公司收购，既实现了风险资金的顺利退出，又使风险企业</w:t>
      </w:r>
      <w:r>
        <w:rPr>
          <w:rFonts w:ascii="宋体" w:eastAsia="宋体" w:hAnsi="宋体" w:cs="宋体"/>
          <w:color w:val="111111"/>
          <w:kern w:val="0"/>
          <w:u w:color="111111"/>
          <w:shd w:val="clear" w:color="auto" w:fill="FFFFFF"/>
          <w:lang w:val="en-US"/>
        </w:rPr>
        <w:t>“</w:t>
      </w:r>
      <w:r>
        <w:rPr>
          <w:rFonts w:ascii="宋体" w:eastAsia="宋体" w:hAnsi="宋体" w:cs="宋体"/>
          <w:color w:val="111111"/>
          <w:kern w:val="0"/>
          <w:u w:color="111111"/>
          <w:shd w:val="clear" w:color="auto" w:fill="FFFFFF"/>
        </w:rPr>
        <w:t>曲线上市</w:t>
      </w:r>
      <w:r>
        <w:rPr>
          <w:rFonts w:ascii="宋体" w:eastAsia="宋体" w:hAnsi="宋体" w:cs="宋体"/>
          <w:color w:val="111111"/>
          <w:kern w:val="0"/>
          <w:u w:color="111111"/>
          <w:shd w:val="clear" w:color="auto" w:fill="FFFFFF"/>
          <w:lang w:val="en-US"/>
        </w:rPr>
        <w:t>”</w:t>
      </w:r>
      <w:r>
        <w:rPr>
          <w:rFonts w:ascii="宋体" w:eastAsia="宋体" w:hAnsi="宋体" w:cs="宋体"/>
          <w:color w:val="111111"/>
          <w:kern w:val="0"/>
          <w:u w:color="111111"/>
          <w:shd w:val="clear" w:color="auto" w:fill="FFFFFF"/>
        </w:rPr>
        <w:t>。上市公司可以通过入股、控股或全部控投的方式进入。二是借壳上市，迂回退出。具体经过两个步骤完成：首先，参股上市公司，逐步增加收购上市公司的股权，达到绝对控股或相对控股的水平；然后，对已经控股的上市公司进行资产重组，剥离不良资产或与风险企业发展目标相悖之资产，注入原公司的核心产品及技术。三是和上市公司共同投资。企业可出让核心业务与上市公司共同投资成立新的公司。风险投资基金可以凭借对新的高科技企业的股权或向上市公司转让其股权实现退出。企业如果选择并购的方式，可以整合被收购企业的各方面资源，助力自己的战略发展，但同时也面临着丧失控制权的风险。</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lang w:val="en-US"/>
        </w:rPr>
        <w:t>A</w:t>
      </w:r>
      <w:r>
        <w:rPr>
          <w:rFonts w:ascii="宋体" w:eastAsia="宋体" w:hAnsi="宋体" w:cs="宋体"/>
          <w:color w:val="111111"/>
          <w:kern w:val="0"/>
          <w:u w:color="111111"/>
          <w:shd w:val="clear" w:color="auto" w:fill="FFFFFF"/>
        </w:rPr>
        <w:t>股上市、新三板上市还是被收购？如果你是精典博维的董事长陈黎明，你会作何选择？</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陈黎明最终做出了他的选择</w:t>
      </w:r>
      <w:r>
        <w:rPr>
          <w:rFonts w:ascii="宋体" w:eastAsia="宋体" w:hAnsi="宋体" w:cs="宋体"/>
          <w:color w:val="111111"/>
          <w:kern w:val="0"/>
          <w:u w:color="111111"/>
          <w:shd w:val="clear" w:color="auto" w:fill="FFFFFF"/>
          <w:lang w:val="en-US"/>
        </w:rPr>
        <w:t>——</w:t>
      </w:r>
      <w:r>
        <w:rPr>
          <w:rFonts w:ascii="宋体" w:eastAsia="宋体" w:hAnsi="宋体" w:cs="宋体"/>
          <w:color w:val="111111"/>
          <w:kern w:val="0"/>
          <w:u w:color="111111"/>
          <w:shd w:val="clear" w:color="auto" w:fill="FFFFFF"/>
        </w:rPr>
        <w:t>被上市公司收购。</w:t>
      </w:r>
      <w:r>
        <w:rPr>
          <w:rFonts w:ascii="宋体" w:eastAsia="宋体" w:hAnsi="宋体" w:cs="宋体"/>
          <w:color w:val="111111"/>
          <w:kern w:val="0"/>
          <w:u w:color="111111"/>
          <w:shd w:val="clear" w:color="auto" w:fill="FFFFFF"/>
          <w:lang w:val="en-US"/>
        </w:rPr>
        <w:t>2015</w:t>
      </w:r>
      <w:r>
        <w:rPr>
          <w:rFonts w:ascii="宋体" w:eastAsia="宋体" w:hAnsi="宋体" w:cs="宋体"/>
          <w:color w:val="111111"/>
          <w:kern w:val="0"/>
          <w:u w:color="111111"/>
          <w:shd w:val="clear" w:color="auto" w:fill="FFFFFF"/>
        </w:rPr>
        <w:t>年</w:t>
      </w:r>
      <w:r>
        <w:rPr>
          <w:rFonts w:ascii="宋体" w:eastAsia="宋体" w:hAnsi="宋体" w:cs="宋体"/>
          <w:color w:val="111111"/>
          <w:kern w:val="0"/>
          <w:u w:color="111111"/>
          <w:shd w:val="clear" w:color="auto" w:fill="FFFFFF"/>
          <w:lang w:val="en-US"/>
        </w:rPr>
        <w:t>7</w:t>
      </w:r>
      <w:r>
        <w:rPr>
          <w:rFonts w:ascii="宋体" w:eastAsia="宋体" w:hAnsi="宋体" w:cs="宋体"/>
          <w:color w:val="111111"/>
          <w:kern w:val="0"/>
          <w:u w:color="111111"/>
          <w:shd w:val="clear" w:color="auto" w:fill="FFFFFF"/>
        </w:rPr>
        <w:t>月</w:t>
      </w:r>
      <w:r>
        <w:rPr>
          <w:rFonts w:ascii="宋体" w:eastAsia="宋体" w:hAnsi="宋体" w:cs="宋体"/>
          <w:color w:val="111111"/>
          <w:kern w:val="0"/>
          <w:u w:color="111111"/>
          <w:shd w:val="clear" w:color="auto" w:fill="FFFFFF"/>
          <w:lang w:val="en-US"/>
        </w:rPr>
        <w:t>1</w:t>
      </w:r>
      <w:r>
        <w:rPr>
          <w:rFonts w:ascii="宋体" w:eastAsia="宋体" w:hAnsi="宋体" w:cs="宋体"/>
          <w:color w:val="111111"/>
          <w:kern w:val="0"/>
          <w:u w:color="111111"/>
          <w:shd w:val="clear" w:color="auto" w:fill="FFFFFF"/>
        </w:rPr>
        <w:t>号，精典博维接受华媒控股收购的消息见诸各大媒体报端。</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lastRenderedPageBreak/>
        <w:t xml:space="preserve">最终，北京精典博维文化传媒有限公100%股权在基准日经评估的价值为人民币 30,722.91万元。华媒控股拟向精典博维的股东吴梅林、 瑞益创享、文广创投、马淑清、博大会成、曹金玲、钱淼根、徐平华、潘建 文、章剑、赵达峰、百团百利共计支付现金 10,752 万元,购买交易对手所持北京精典博维文化传媒有限公司共35%的股权。本次交易完成后,华媒控股将持有精典博维 35%股权,成为精典博维的第一大股东。 </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 xml:space="preserve">本次交易完成后,若精典博维 2015 年度实现的归属母公司净利润不低于 2,700 万元,则华媒控股将于精典博维 2015 年度经审计财务报告出具后五个工作日内启动第二次收购的相关流程,按本次收购的估值支付交易对价 10,752 万元,再次收购精典博维公司 35%的股权。 </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 xml:space="preserve">若第二次收购完成且精典博维2015、2016 和 2017 年度实现的归属母公 司净利润分别不低于 2,700、3,240、3,888 万元,则华媒控股将于精典博维 2017 年度经审计财务报告出具后五个工作日内启动补偿机制,即按本次收购的估值倍数 12.8 倍, 以 2,700、3,240 和 3,888 万元的算术平均数 3,276 万元为基数,调整精典博维 100%股权交易对价(即精典博维 100%股权价格由 30,720 万元调整至 41,932.8 万元),对已收购精典博维的 70%股权进行作价调整补偿,补偿价款合计不超过 7,848.96 万元。此外,为激励精典博维原股东、管理团队和骨干员工,同意将完成的实际净利润超过承诺利润的30%部分奖励给精典博维原股东、管理团队或骨干员工。 </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 xml:space="preserve">同时,华媒控股还将按本次收购的估值倍数 12.8 倍,以 3,888 万元为基数,调整精典博维 100%股权交易对价(即标的公司 100%股权价格由 30,720 万元调整至 49,766.4 万元),并收购精典博维剩余股权,收购价款不超过 14,929.92 万元。 </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 xml:space="preserve">2017 年收购完成后,精典博维原实际控制人陈黎明承诺 2018-2019 年每 年实现的归属母公司净利润较 3,888 万元的年均复合增长率不低于 5%。 </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正如我们开头所说，与其说这是个一个主动的战略决定，倒不如说是精典博维在再次袭来的融资需求和投资者退出压力下的无奈之举。这个选择的正确与否我们还不得而知，只能靠时间去给出答案。</w:t>
      </w:r>
    </w:p>
    <w:p w:rsidR="003A5CE8" w:rsidRDefault="003A5CE8">
      <w:pPr>
        <w:pStyle w:val="A5"/>
        <w:ind w:firstLine="480"/>
        <w:rPr>
          <w:rFonts w:ascii="宋体" w:eastAsia="宋体" w:hAnsi="宋体" w:cs="宋体"/>
          <w:color w:val="111111"/>
          <w:kern w:val="0"/>
          <w:u w:color="111111"/>
          <w:shd w:val="clear" w:color="auto" w:fill="FFFFFF"/>
        </w:rPr>
      </w:pPr>
    </w:p>
    <w:p w:rsidR="003A5CE8" w:rsidRDefault="003A5CE8">
      <w:pPr>
        <w:pStyle w:val="A5"/>
        <w:rPr>
          <w:rFonts w:ascii="宋体" w:eastAsia="宋体" w:hAnsi="宋体" w:cs="宋体"/>
          <w:color w:val="111111"/>
          <w:kern w:val="0"/>
          <w:sz w:val="30"/>
          <w:szCs w:val="30"/>
          <w:u w:color="111111"/>
          <w:shd w:val="clear" w:color="auto" w:fill="FFFFFF"/>
        </w:rPr>
      </w:pPr>
    </w:p>
    <w:p w:rsidR="003A5CE8" w:rsidRDefault="007038D7">
      <w:pPr>
        <w:pStyle w:val="A5"/>
        <w:rPr>
          <w:rFonts w:ascii="宋体" w:eastAsia="宋体" w:hAnsi="宋体" w:cs="宋体"/>
          <w:b/>
          <w:bCs/>
          <w:color w:val="111111"/>
          <w:kern w:val="0"/>
          <w:sz w:val="30"/>
          <w:szCs w:val="30"/>
          <w:u w:color="111111"/>
          <w:shd w:val="clear" w:color="auto" w:fill="D8D8D8"/>
        </w:rPr>
      </w:pPr>
      <w:r>
        <w:rPr>
          <w:rFonts w:ascii="宋体" w:eastAsia="宋体" w:hAnsi="宋体" w:cs="宋体"/>
          <w:b/>
          <w:bCs/>
          <w:color w:val="111111"/>
          <w:kern w:val="0"/>
          <w:sz w:val="30"/>
          <w:szCs w:val="30"/>
          <w:u w:color="111111"/>
          <w:shd w:val="clear" w:color="auto" w:fill="D8D8D8"/>
        </w:rPr>
        <w:t>回顾与思考：</w:t>
      </w:r>
    </w:p>
    <w:p w:rsidR="003A5CE8" w:rsidRDefault="003A5CE8">
      <w:pPr>
        <w:pStyle w:val="A5"/>
        <w:rPr>
          <w:rFonts w:ascii="宋体" w:eastAsia="宋体" w:hAnsi="宋体" w:cs="宋体"/>
          <w:b/>
          <w:bCs/>
          <w:color w:val="111111"/>
          <w:kern w:val="0"/>
          <w:sz w:val="30"/>
          <w:szCs w:val="30"/>
          <w:u w:color="111111"/>
          <w:shd w:val="clear" w:color="auto" w:fill="D8D8D8"/>
        </w:rPr>
      </w:pP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回顾精典博维的整个发展历程，与资本的纠葛贯穿始终。一轮轮的融资，使公司的股权结构从最初的陈黎明和吴梅林两人，一步步变化到被收购时包括众多投资公司在内总共</w:t>
      </w:r>
      <w:r>
        <w:rPr>
          <w:rFonts w:ascii="宋体" w:eastAsia="宋体" w:hAnsi="宋体" w:cs="宋体"/>
          <w:color w:val="111111"/>
          <w:kern w:val="0"/>
          <w:u w:color="111111"/>
          <w:shd w:val="clear" w:color="auto" w:fill="FFFFFF"/>
          <w:lang w:val="en-US"/>
        </w:rPr>
        <w:t>17</w:t>
      </w:r>
      <w:r>
        <w:rPr>
          <w:rFonts w:ascii="宋体" w:eastAsia="宋体" w:hAnsi="宋体" w:cs="宋体"/>
          <w:color w:val="111111"/>
          <w:kern w:val="0"/>
          <w:u w:color="111111"/>
          <w:shd w:val="clear" w:color="auto" w:fill="FFFFFF"/>
        </w:rPr>
        <w:t>个股东。</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这一路融资历程，为精典博维带来了巨大的发展。公司在工商部门登记的经营范围，已涵盖了图书、报纸、期刊、电子出版物批发、零售；中国内地已出版的图书内容的网络（含手机网络）传播；设计、制作、代理、发布广告；销售文化用品、工艺品；企业策划；组织文化艺术交流活动（不含演出）。精典博维从最初注册资本仅</w:t>
      </w:r>
      <w:r>
        <w:rPr>
          <w:rFonts w:ascii="宋体" w:eastAsia="宋体" w:hAnsi="宋体" w:cs="宋体"/>
          <w:color w:val="111111"/>
          <w:kern w:val="0"/>
          <w:u w:color="111111"/>
          <w:shd w:val="clear" w:color="auto" w:fill="FFFFFF"/>
          <w:lang w:val="en-US"/>
        </w:rPr>
        <w:t>2000</w:t>
      </w:r>
      <w:r>
        <w:rPr>
          <w:rFonts w:ascii="宋体" w:eastAsia="宋体" w:hAnsi="宋体" w:cs="宋体"/>
          <w:color w:val="111111"/>
          <w:kern w:val="0"/>
          <w:u w:color="111111"/>
          <w:shd w:val="clear" w:color="auto" w:fill="FFFFFF"/>
        </w:rPr>
        <w:t>万的小公司，一路成长为现在估值过三亿的大企业。资本在精典博维前进的每一步中，都扮演着至关重要的角色。</w:t>
      </w:r>
    </w:p>
    <w:p w:rsidR="003A5CE8" w:rsidRDefault="007038D7">
      <w:pPr>
        <w:pStyle w:val="A5"/>
        <w:ind w:firstLine="480"/>
        <w:rPr>
          <w:rFonts w:ascii="宋体" w:eastAsia="宋体" w:hAnsi="宋体" w:cs="宋体"/>
        </w:rPr>
      </w:pPr>
      <w:r>
        <w:rPr>
          <w:rFonts w:ascii="宋体" w:eastAsia="宋体" w:hAnsi="宋体" w:cs="宋体"/>
          <w:color w:val="111111"/>
          <w:kern w:val="0"/>
          <w:u w:color="111111"/>
          <w:shd w:val="clear" w:color="auto" w:fill="FFFFFF"/>
        </w:rPr>
        <w:t>然而，就像精典博维董事长陈黎明先生自己所说的那样，</w:t>
      </w:r>
      <w:r>
        <w:rPr>
          <w:rFonts w:hAnsi="Times New Roman"/>
          <w:lang w:val="en-US"/>
        </w:rPr>
        <w:t>“</w:t>
      </w:r>
      <w:r>
        <w:rPr>
          <w:rFonts w:ascii="宋体" w:eastAsia="宋体" w:hAnsi="宋体" w:cs="宋体"/>
        </w:rPr>
        <w:t>融资是一个停不下来的过程，也是一个公司业绩追逐估值泡沫的过程。</w:t>
      </w:r>
      <w:r>
        <w:rPr>
          <w:rFonts w:hAnsi="Times New Roman"/>
          <w:lang w:val="en-US"/>
        </w:rPr>
        <w:t>”</w:t>
      </w:r>
      <w:r>
        <w:rPr>
          <w:rFonts w:ascii="宋体" w:eastAsia="宋体" w:hAnsi="宋体" w:cs="宋体"/>
        </w:rPr>
        <w:t>资本的本性是无情地逐利，投入的目标就是回报，它不会照顾一个企业的成长周期也不会体谅企业领</w:t>
      </w:r>
      <w:r>
        <w:rPr>
          <w:rFonts w:ascii="宋体" w:eastAsia="宋体" w:hAnsi="宋体" w:cs="宋体"/>
        </w:rPr>
        <w:lastRenderedPageBreak/>
        <w:t>导者的情怀。创业公司享受到了资本带来的发展机会，就要付出使用资本的代价。以对赌协议为例，创业公司要满足投资人对公司业绩以及成长性的期望，就必须采取比较激进的扩张性的战略在比较短的时间之内提升公司的业绩，这种战略往往不符合公司原本的规划和健康的发展节奏，同时也会带来更大的持续现金流需求，融资在创业公司的发展中也因此变得无法停止。</w:t>
      </w:r>
    </w:p>
    <w:p w:rsidR="003A5CE8" w:rsidRDefault="003A5CE8">
      <w:pPr>
        <w:pStyle w:val="A5"/>
        <w:ind w:firstLine="480"/>
        <w:rPr>
          <w:rFonts w:ascii="宋体" w:eastAsia="宋体" w:hAnsi="宋体" w:cs="宋体"/>
        </w:rPr>
      </w:pPr>
    </w:p>
    <w:p w:rsidR="003A5CE8" w:rsidRDefault="007038D7">
      <w:pPr>
        <w:pStyle w:val="A5"/>
        <w:ind w:firstLine="480"/>
        <w:rPr>
          <w:rFonts w:ascii="宋体" w:eastAsia="宋体" w:hAnsi="宋体" w:cs="宋体"/>
        </w:rPr>
      </w:pPr>
      <w:r>
        <w:rPr>
          <w:rFonts w:ascii="宋体" w:eastAsia="宋体" w:hAnsi="宋体" w:cs="宋体"/>
        </w:rPr>
        <w:t>学习精典博维的案例，除了学习到融资决策的实务性知识，还给我们在理论上提出了更深层次的问题：</w:t>
      </w:r>
    </w:p>
    <w:p w:rsidR="003A5CE8" w:rsidRDefault="007038D7">
      <w:pPr>
        <w:pStyle w:val="A5"/>
        <w:ind w:firstLine="480"/>
        <w:rPr>
          <w:rFonts w:ascii="宋体" w:eastAsia="宋体" w:hAnsi="宋体" w:cs="宋体"/>
        </w:rPr>
      </w:pPr>
      <w:r>
        <w:rPr>
          <w:rFonts w:ascii="宋体" w:eastAsia="宋体" w:hAnsi="宋体" w:cs="宋体"/>
        </w:rPr>
        <w:t>1、虽然</w:t>
      </w:r>
      <w:r>
        <w:rPr>
          <w:rFonts w:ascii="宋体" w:eastAsia="宋体" w:hAnsi="宋体" w:cs="宋体"/>
          <w:color w:val="111111"/>
          <w:kern w:val="0"/>
          <w:u w:color="111111"/>
          <w:shd w:val="clear" w:color="auto" w:fill="FFFFFF"/>
        </w:rPr>
        <w:t>对企业来说，首先要思考的是资本从何而来的问题，但是，从宏观经济和政治经济的角度来看，私募资本对市场秩序的作用，资本的善恶，也是值得深思的问题。</w:t>
      </w:r>
      <w:r>
        <w:rPr>
          <w:rFonts w:ascii="宋体" w:eastAsia="宋体" w:hAnsi="宋体" w:cs="宋体"/>
        </w:rPr>
        <w:t>资本在一个创业公司的发展过程中到底扮演着怎样的角色？是播种希望的天使，还是张口吃人的恶魔？资本对一个创业企业所起的作用，到底是助力还是剥削？</w:t>
      </w: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2、中小企业融资贵、融资难已经成为了老生常谈的话题。金融体系不够完善，资本市场不够活跃都是这个问题的成因之一。体制的完善要靠政府来完成，</w:t>
      </w:r>
      <w:r>
        <w:rPr>
          <w:rFonts w:ascii="宋体" w:eastAsia="宋体" w:hAnsi="宋体" w:cs="宋体"/>
        </w:rPr>
        <w:t>然而，在此之外，政府是否应该有更多作为？如果政府对资本市场应该有政策干预，那么是该利用政策和法规来间接引导，还是该把自己的资金作为</w:t>
      </w:r>
      <w:r>
        <w:rPr>
          <w:rFonts w:hAnsi="Times New Roman"/>
          <w:lang w:val="en-US"/>
        </w:rPr>
        <w:t>“</w:t>
      </w:r>
      <w:r>
        <w:rPr>
          <w:rFonts w:ascii="宋体" w:eastAsia="宋体" w:hAnsi="宋体" w:cs="宋体"/>
        </w:rPr>
        <w:t>引子钱</w:t>
      </w:r>
      <w:r>
        <w:rPr>
          <w:rFonts w:hAnsi="Times New Roman"/>
          <w:lang w:val="en-US"/>
        </w:rPr>
        <w:t>”</w:t>
      </w:r>
      <w:r>
        <w:rPr>
          <w:rFonts w:ascii="宋体" w:eastAsia="宋体" w:hAnsi="宋体" w:cs="宋体"/>
        </w:rPr>
        <w:t>直接拉动社会资金和民间资本？而不论是哪种方式，又是</w:t>
      </w:r>
      <w:r>
        <w:rPr>
          <w:rFonts w:ascii="宋体" w:eastAsia="宋体" w:hAnsi="宋体" w:cs="宋体"/>
          <w:color w:val="111111"/>
          <w:kern w:val="0"/>
          <w:u w:color="111111"/>
          <w:shd w:val="clear" w:color="auto" w:fill="FFFFFF"/>
        </w:rPr>
        <w:t>何种程度叫做合适，何种程度该称之为过度？</w:t>
      </w:r>
    </w:p>
    <w:p w:rsidR="003A5CE8" w:rsidRDefault="007038D7">
      <w:pPr>
        <w:pStyle w:val="A5"/>
        <w:ind w:firstLine="480"/>
        <w:rPr>
          <w:rFonts w:ascii="宋体" w:eastAsia="宋体" w:hAnsi="宋体" w:cs="宋体"/>
        </w:rPr>
      </w:pPr>
      <w:r>
        <w:rPr>
          <w:rFonts w:ascii="宋体" w:eastAsia="宋体" w:hAnsi="宋体" w:cs="宋体"/>
        </w:rPr>
        <w:t>这些都是精典博维的案例带给我们的更深层次的思考，对于这些问题，不同人也许有着不同的看法，你的答案又是什么呢？</w:t>
      </w: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80"/>
        <w:rPr>
          <w:rFonts w:ascii="宋体" w:eastAsia="宋体" w:hAnsi="宋体" w:cs="宋体"/>
        </w:rPr>
      </w:pPr>
    </w:p>
    <w:p w:rsidR="003A5CE8" w:rsidRDefault="003A5CE8">
      <w:pPr>
        <w:pStyle w:val="A5"/>
        <w:ind w:firstLine="400"/>
        <w:rPr>
          <w:rFonts w:ascii="Times" w:eastAsia="Times" w:hAnsi="Times" w:cs="Times"/>
          <w:kern w:val="0"/>
          <w:sz w:val="20"/>
          <w:szCs w:val="20"/>
        </w:rPr>
      </w:pPr>
    </w:p>
    <w:p w:rsidR="003A5CE8" w:rsidRDefault="007038D7">
      <w:pPr>
        <w:pStyle w:val="A5"/>
        <w:ind w:firstLine="480"/>
        <w:rPr>
          <w:rFonts w:ascii="宋体" w:eastAsia="宋体" w:hAnsi="宋体" w:cs="宋体"/>
          <w:color w:val="111111"/>
          <w:kern w:val="0"/>
          <w:u w:color="111111"/>
          <w:shd w:val="clear" w:color="auto" w:fill="FFFFFF"/>
        </w:rPr>
      </w:pPr>
      <w:r>
        <w:rPr>
          <w:rFonts w:ascii="宋体" w:eastAsia="宋体" w:hAnsi="宋体" w:cs="宋体"/>
          <w:color w:val="111111"/>
          <w:kern w:val="0"/>
          <w:u w:color="111111"/>
          <w:shd w:val="clear" w:color="auto" w:fill="FFFFFF"/>
        </w:rPr>
        <w:t>附录：</w:t>
      </w:r>
    </w:p>
    <w:p w:rsidR="003A5CE8" w:rsidRDefault="007038D7">
      <w:pPr>
        <w:pStyle w:val="A5"/>
        <w:rPr>
          <w:rFonts w:ascii="Arial" w:eastAsia="Arial" w:hAnsi="Arial" w:cs="Arial"/>
          <w:sz w:val="21"/>
          <w:szCs w:val="21"/>
        </w:rPr>
      </w:pPr>
      <w:r>
        <w:rPr>
          <w:rFonts w:ascii="Arial"/>
          <w:sz w:val="21"/>
          <w:szCs w:val="21"/>
          <w:lang w:val="en-US"/>
        </w:rPr>
        <w:t>&lt;</w:t>
      </w:r>
      <w:r>
        <w:rPr>
          <w:rFonts w:ascii="宋体" w:eastAsia="宋体" w:hAnsi="宋体" w:cs="宋体"/>
          <w:sz w:val="21"/>
          <w:szCs w:val="21"/>
        </w:rPr>
        <w:t>一</w:t>
      </w:r>
      <w:r>
        <w:rPr>
          <w:rFonts w:ascii="Arial"/>
          <w:sz w:val="21"/>
          <w:szCs w:val="21"/>
          <w:lang w:val="en-US"/>
        </w:rPr>
        <w:t>&gt;</w:t>
      </w:r>
    </w:p>
    <w:p w:rsidR="003A5CE8" w:rsidRDefault="007038D7">
      <w:pPr>
        <w:pStyle w:val="A5"/>
        <w:rPr>
          <w:rFonts w:ascii="Arial" w:eastAsia="Arial" w:hAnsi="Arial" w:cs="Arial"/>
          <w:sz w:val="21"/>
          <w:szCs w:val="21"/>
        </w:rPr>
      </w:pPr>
      <w:r>
        <w:rPr>
          <w:rFonts w:ascii="宋体" w:eastAsia="宋体" w:hAnsi="宋体" w:cs="宋体"/>
          <w:sz w:val="21"/>
          <w:szCs w:val="21"/>
        </w:rPr>
        <w:t>精典博维所获荣誉：</w:t>
      </w:r>
    </w:p>
    <w:tbl>
      <w:tblPr>
        <w:tblStyle w:val="TableNormal"/>
        <w:tblW w:w="837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66"/>
        <w:gridCol w:w="7513"/>
      </w:tblGrid>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2007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贝塔斯曼</w:t>
            </w:r>
            <w:r>
              <w:rPr>
                <w:rFonts w:ascii="宋体" w:eastAsia="宋体" w:hAnsi="宋体" w:cs="宋体"/>
                <w:kern w:val="0"/>
                <w:sz w:val="18"/>
                <w:szCs w:val="18"/>
                <w:lang w:val="en-US"/>
              </w:rPr>
              <w:t>2007</w:t>
            </w:r>
            <w:r>
              <w:rPr>
                <w:rFonts w:ascii="宋体" w:eastAsia="宋体" w:hAnsi="宋体" w:cs="宋体"/>
                <w:kern w:val="0"/>
                <w:sz w:val="18"/>
                <w:szCs w:val="18"/>
              </w:rPr>
              <w:t>年度最佳供应商奖；</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2007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健康时报社、新浪读书频道授予</w:t>
            </w:r>
            <w:r>
              <w:rPr>
                <w:rFonts w:ascii="宋体" w:eastAsia="宋体" w:hAnsi="宋体" w:cs="宋体"/>
                <w:kern w:val="0"/>
                <w:sz w:val="18"/>
                <w:szCs w:val="18"/>
                <w:lang w:val="en-US"/>
              </w:rPr>
              <w:t>“2007</w:t>
            </w:r>
            <w:r>
              <w:rPr>
                <w:rFonts w:ascii="宋体" w:eastAsia="宋体" w:hAnsi="宋体" w:cs="宋体"/>
                <w:kern w:val="0"/>
                <w:sz w:val="18"/>
                <w:szCs w:val="18"/>
              </w:rPr>
              <w:t>年度中国十大健康好书</w:t>
            </w:r>
            <w:r>
              <w:rPr>
                <w:rFonts w:ascii="宋体" w:eastAsia="宋体" w:hAnsi="宋体" w:cs="宋体"/>
                <w:kern w:val="0"/>
                <w:sz w:val="18"/>
                <w:szCs w:val="18"/>
                <w:lang w:val="en-US"/>
              </w:rPr>
              <w:t>”</w:t>
            </w:r>
            <w:r>
              <w:rPr>
                <w:rFonts w:ascii="宋体" w:eastAsia="宋体" w:hAnsi="宋体" w:cs="宋体"/>
                <w:kern w:val="0"/>
                <w:sz w:val="18"/>
                <w:szCs w:val="18"/>
              </w:rPr>
              <w:t>荣誉称号</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2007</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卓越亚马逊网上书店特授</w:t>
            </w:r>
            <w:r>
              <w:rPr>
                <w:rFonts w:ascii="宋体" w:eastAsia="宋体" w:hAnsi="宋体" w:cs="宋体"/>
                <w:kern w:val="0"/>
                <w:sz w:val="18"/>
                <w:szCs w:val="18"/>
                <w:lang w:val="en-US"/>
              </w:rPr>
              <w:t>2007</w:t>
            </w:r>
            <w:r>
              <w:rPr>
                <w:rFonts w:ascii="宋体" w:eastAsia="宋体" w:hAnsi="宋体" w:cs="宋体"/>
                <w:kern w:val="0"/>
                <w:sz w:val="18"/>
                <w:szCs w:val="18"/>
              </w:rPr>
              <w:t>年度四星级供应商</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2008</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当当网</w:t>
            </w:r>
            <w:r>
              <w:rPr>
                <w:rFonts w:ascii="宋体" w:eastAsia="宋体" w:hAnsi="宋体" w:cs="宋体"/>
                <w:kern w:val="0"/>
                <w:sz w:val="18"/>
                <w:szCs w:val="18"/>
                <w:lang w:val="en-US"/>
              </w:rPr>
              <w:t>2008</w:t>
            </w:r>
            <w:r>
              <w:rPr>
                <w:rFonts w:ascii="宋体" w:eastAsia="宋体" w:hAnsi="宋体" w:cs="宋体"/>
                <w:kern w:val="0"/>
                <w:sz w:val="18"/>
                <w:szCs w:val="18"/>
              </w:rPr>
              <w:t>年度最具成长奖</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2009</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民营书业实力新锐奖</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2010</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lang w:val="en-US"/>
              </w:rPr>
              <w:t>2010</w:t>
            </w:r>
            <w:r>
              <w:rPr>
                <w:rFonts w:ascii="宋体" w:eastAsia="宋体" w:hAnsi="宋体" w:cs="宋体"/>
                <w:kern w:val="0"/>
                <w:sz w:val="18"/>
                <w:szCs w:val="18"/>
              </w:rPr>
              <w:t>年中国书业年度评选电镀图书奖</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lastRenderedPageBreak/>
              <w:t>2010</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全国民营社科文艺图书发行联合体授予</w:t>
            </w:r>
            <w:r>
              <w:rPr>
                <w:rFonts w:ascii="宋体" w:eastAsia="宋体" w:hAnsi="宋体" w:cs="宋体"/>
                <w:kern w:val="0"/>
                <w:sz w:val="18"/>
                <w:szCs w:val="18"/>
                <w:lang w:val="en-US"/>
              </w:rPr>
              <w:t>“</w:t>
            </w:r>
            <w:r>
              <w:rPr>
                <w:rFonts w:ascii="宋体" w:eastAsia="宋体" w:hAnsi="宋体" w:cs="宋体"/>
                <w:kern w:val="0"/>
                <w:sz w:val="18"/>
                <w:szCs w:val="18"/>
              </w:rPr>
              <w:t>精典博维</w:t>
            </w:r>
            <w:r>
              <w:rPr>
                <w:rFonts w:ascii="宋体" w:eastAsia="宋体" w:hAnsi="宋体" w:cs="宋体"/>
                <w:kern w:val="0"/>
                <w:sz w:val="18"/>
                <w:szCs w:val="18"/>
                <w:lang w:val="en-US"/>
              </w:rPr>
              <w:t>”2011</w:t>
            </w:r>
            <w:r>
              <w:rPr>
                <w:rFonts w:ascii="宋体" w:eastAsia="宋体" w:hAnsi="宋体" w:cs="宋体"/>
                <w:kern w:val="0"/>
                <w:sz w:val="18"/>
                <w:szCs w:val="18"/>
              </w:rPr>
              <w:t>年战略发展商</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2010</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lang w:val="en-US"/>
              </w:rPr>
              <w:t>“</w:t>
            </w:r>
            <w:r>
              <w:rPr>
                <w:rFonts w:ascii="宋体" w:eastAsia="宋体" w:hAnsi="宋体" w:cs="宋体"/>
                <w:kern w:val="0"/>
                <w:sz w:val="18"/>
                <w:szCs w:val="18"/>
              </w:rPr>
              <w:t>中国首届版权拍卖大会优秀合作单位</w:t>
            </w:r>
            <w:r>
              <w:rPr>
                <w:rFonts w:ascii="宋体" w:eastAsia="宋体" w:hAnsi="宋体" w:cs="宋体"/>
                <w:kern w:val="0"/>
                <w:sz w:val="18"/>
                <w:szCs w:val="18"/>
                <w:lang w:val="en-US"/>
              </w:rPr>
              <w:t>”</w:t>
            </w:r>
            <w:r>
              <w:rPr>
                <w:rFonts w:ascii="宋体" w:eastAsia="宋体" w:hAnsi="宋体" w:cs="宋体"/>
                <w:kern w:val="0"/>
                <w:sz w:val="18"/>
                <w:szCs w:val="18"/>
              </w:rPr>
              <w:t>荣誉称号</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2010</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lang w:val="en-US"/>
              </w:rPr>
              <w:t>2010</w:t>
            </w:r>
            <w:r>
              <w:rPr>
                <w:rFonts w:ascii="宋体" w:eastAsia="宋体" w:hAnsi="宋体" w:cs="宋体"/>
                <w:kern w:val="0"/>
                <w:sz w:val="18"/>
                <w:szCs w:val="18"/>
              </w:rPr>
              <w:t>战略发展商</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2012</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新京报</w:t>
            </w:r>
            <w:r>
              <w:rPr>
                <w:rFonts w:ascii="宋体" w:eastAsia="宋体" w:hAnsi="宋体" w:cs="宋体"/>
                <w:kern w:val="0"/>
                <w:sz w:val="18"/>
                <w:szCs w:val="18"/>
                <w:lang w:val="en-US"/>
              </w:rPr>
              <w:t>2012</w:t>
            </w:r>
            <w:r>
              <w:rPr>
                <w:rFonts w:ascii="宋体" w:eastAsia="宋体" w:hAnsi="宋体" w:cs="宋体"/>
                <w:kern w:val="0"/>
                <w:sz w:val="18"/>
                <w:szCs w:val="18"/>
              </w:rPr>
              <w:t>年度畅销榜（总榜）</w:t>
            </w:r>
            <w:r>
              <w:rPr>
                <w:rFonts w:ascii="宋体" w:eastAsia="宋体" w:hAnsi="宋体" w:cs="宋体"/>
                <w:kern w:val="0"/>
                <w:sz w:val="18"/>
                <w:szCs w:val="18"/>
                <w:lang w:val="en-US"/>
              </w:rPr>
              <w:t>“</w:t>
            </w:r>
            <w:r>
              <w:rPr>
                <w:rFonts w:ascii="宋体" w:eastAsia="宋体" w:hAnsi="宋体" w:cs="宋体"/>
                <w:kern w:val="0"/>
                <w:sz w:val="18"/>
                <w:szCs w:val="18"/>
              </w:rPr>
              <w:t>精典博维《莫言文集》</w:t>
            </w:r>
            <w:r>
              <w:rPr>
                <w:rFonts w:ascii="宋体" w:eastAsia="宋体" w:hAnsi="宋体" w:cs="宋体"/>
                <w:kern w:val="0"/>
                <w:sz w:val="18"/>
                <w:szCs w:val="18"/>
                <w:lang w:val="en-US"/>
              </w:rPr>
              <w:t>”</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2012</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北京出版发行业协会副主席单位</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2013</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lang w:val="en-US"/>
              </w:rPr>
              <w:t>2013“</w:t>
            </w:r>
            <w:r>
              <w:rPr>
                <w:rFonts w:ascii="宋体" w:eastAsia="宋体" w:hAnsi="宋体" w:cs="宋体"/>
                <w:kern w:val="0"/>
                <w:sz w:val="18"/>
                <w:szCs w:val="18"/>
              </w:rPr>
              <w:t>第二届文化产业最佳商业模式与高成长企业</w:t>
            </w:r>
            <w:r>
              <w:rPr>
                <w:rFonts w:ascii="宋体" w:eastAsia="宋体" w:hAnsi="宋体" w:cs="宋体"/>
                <w:kern w:val="0"/>
                <w:sz w:val="18"/>
                <w:szCs w:val="18"/>
                <w:lang w:val="en-US"/>
              </w:rPr>
              <w:t>50</w:t>
            </w:r>
            <w:r>
              <w:rPr>
                <w:rFonts w:ascii="宋体" w:eastAsia="宋体" w:hAnsi="宋体" w:cs="宋体"/>
                <w:kern w:val="0"/>
                <w:sz w:val="18"/>
                <w:szCs w:val="18"/>
              </w:rPr>
              <w:t>强评选</w:t>
            </w:r>
            <w:r>
              <w:rPr>
                <w:rFonts w:ascii="宋体" w:eastAsia="宋体" w:hAnsi="宋体" w:cs="宋体"/>
                <w:kern w:val="0"/>
                <w:sz w:val="18"/>
                <w:szCs w:val="18"/>
                <w:lang w:val="en-US"/>
              </w:rPr>
              <w:t>”</w:t>
            </w:r>
            <w:r>
              <w:rPr>
                <w:rFonts w:ascii="宋体" w:eastAsia="宋体" w:hAnsi="宋体" w:cs="宋体"/>
                <w:kern w:val="0"/>
                <w:sz w:val="18"/>
                <w:szCs w:val="18"/>
              </w:rPr>
              <w:t>中，荣获</w:t>
            </w:r>
            <w:r>
              <w:rPr>
                <w:rFonts w:ascii="宋体" w:eastAsia="宋体" w:hAnsi="宋体" w:cs="宋体"/>
                <w:kern w:val="0"/>
                <w:sz w:val="18"/>
                <w:szCs w:val="18"/>
                <w:lang w:val="en-US"/>
              </w:rPr>
              <w:t>“</w:t>
            </w:r>
            <w:r>
              <w:rPr>
                <w:rFonts w:ascii="宋体" w:eastAsia="宋体" w:hAnsi="宋体" w:cs="宋体"/>
                <w:kern w:val="0"/>
                <w:sz w:val="18"/>
                <w:szCs w:val="18"/>
              </w:rPr>
              <w:t>明日之星奖</w:t>
            </w:r>
            <w:r>
              <w:rPr>
                <w:rFonts w:ascii="宋体" w:eastAsia="宋体" w:hAnsi="宋体" w:cs="宋体"/>
                <w:kern w:val="0"/>
                <w:sz w:val="18"/>
                <w:szCs w:val="18"/>
                <w:lang w:val="en-US"/>
              </w:rPr>
              <w:t>”</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2013</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lang w:val="en-US"/>
              </w:rPr>
              <w:t>2013</w:t>
            </w:r>
            <w:r>
              <w:rPr>
                <w:rFonts w:ascii="宋体" w:eastAsia="宋体" w:hAnsi="宋体" w:cs="宋体"/>
                <w:kern w:val="0"/>
                <w:sz w:val="18"/>
                <w:szCs w:val="18"/>
              </w:rPr>
              <w:t>年荣获年度书业民营实力品牌机构</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2013</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第四届中国图书势力榜</w:t>
            </w:r>
            <w:r>
              <w:rPr>
                <w:rFonts w:ascii="宋体" w:eastAsia="宋体" w:hAnsi="宋体" w:cs="宋体"/>
                <w:kern w:val="0"/>
                <w:sz w:val="18"/>
                <w:szCs w:val="18"/>
                <w:lang w:val="en-US"/>
              </w:rPr>
              <w:t>“</w:t>
            </w:r>
            <w:r>
              <w:rPr>
                <w:rFonts w:ascii="宋体" w:eastAsia="宋体" w:hAnsi="宋体" w:cs="宋体"/>
                <w:kern w:val="0"/>
                <w:sz w:val="18"/>
                <w:szCs w:val="18"/>
              </w:rPr>
              <w:t>年度好书</w:t>
            </w:r>
            <w:r>
              <w:rPr>
                <w:rFonts w:ascii="宋体" w:eastAsia="宋体" w:hAnsi="宋体" w:cs="宋体"/>
                <w:kern w:val="0"/>
                <w:sz w:val="18"/>
                <w:szCs w:val="18"/>
                <w:lang w:val="en-US"/>
              </w:rPr>
              <w:t>-</w:t>
            </w:r>
            <w:r>
              <w:rPr>
                <w:rFonts w:ascii="宋体" w:eastAsia="宋体" w:hAnsi="宋体" w:cs="宋体"/>
                <w:kern w:val="0"/>
                <w:sz w:val="18"/>
                <w:szCs w:val="18"/>
              </w:rPr>
              <w:t>文学奖</w:t>
            </w:r>
            <w:r>
              <w:rPr>
                <w:rFonts w:ascii="宋体" w:eastAsia="宋体" w:hAnsi="宋体" w:cs="宋体"/>
                <w:kern w:val="0"/>
                <w:sz w:val="18"/>
                <w:szCs w:val="18"/>
                <w:lang w:val="en-US"/>
              </w:rPr>
              <w:t>”</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2013</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北京西城区工商联成员单位</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2014</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中关村高新技术企业资质</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2014</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中国出版协会民营工作委员会理事单位</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2014</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中关村企业信用会会员</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2014</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中关村企业资信评级</w:t>
            </w:r>
            <w:r>
              <w:rPr>
                <w:rFonts w:ascii="宋体" w:eastAsia="宋体" w:hAnsi="宋体" w:cs="宋体"/>
                <w:kern w:val="0"/>
                <w:sz w:val="18"/>
                <w:szCs w:val="18"/>
                <w:lang w:val="en-US"/>
              </w:rPr>
              <w:t>BBB</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2014</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北京文化产业数据大联盟成员</w:t>
            </w:r>
          </w:p>
        </w:tc>
      </w:tr>
      <w:tr w:rsidR="003A5CE8">
        <w:trPr>
          <w:trHeight w:val="320"/>
        </w:trPr>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jc w:val="center"/>
            </w:pPr>
            <w:r>
              <w:rPr>
                <w:rFonts w:ascii="宋体" w:eastAsia="宋体" w:hAnsi="宋体" w:cs="宋体"/>
                <w:kern w:val="0"/>
                <w:sz w:val="18"/>
                <w:szCs w:val="18"/>
                <w:lang w:val="en-US"/>
              </w:rPr>
              <w:t>2014</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8" w:type="dxa"/>
            </w:tcMar>
            <w:vAlign w:val="center"/>
          </w:tcPr>
          <w:p w:rsidR="003A5CE8" w:rsidRDefault="007038D7">
            <w:pPr>
              <w:pStyle w:val="A5"/>
              <w:tabs>
                <w:tab w:val="left" w:pos="7800"/>
              </w:tabs>
              <w:ind w:right="48"/>
            </w:pPr>
            <w:r>
              <w:rPr>
                <w:rFonts w:ascii="宋体" w:eastAsia="宋体" w:hAnsi="宋体" w:cs="宋体"/>
                <w:kern w:val="0"/>
                <w:sz w:val="18"/>
                <w:szCs w:val="18"/>
              </w:rPr>
              <w:t>首都文化产业协会会员</w:t>
            </w:r>
          </w:p>
        </w:tc>
      </w:tr>
    </w:tbl>
    <w:p w:rsidR="003A5CE8" w:rsidRDefault="003A5CE8">
      <w:pPr>
        <w:pStyle w:val="A5"/>
        <w:rPr>
          <w:rFonts w:ascii="Arial" w:eastAsia="Arial" w:hAnsi="Arial" w:cs="Arial"/>
          <w:sz w:val="21"/>
          <w:szCs w:val="21"/>
        </w:rPr>
      </w:pPr>
    </w:p>
    <w:p w:rsidR="003A5CE8" w:rsidRDefault="003A5CE8">
      <w:pPr>
        <w:pStyle w:val="A5"/>
        <w:rPr>
          <w:rFonts w:ascii="Arial" w:eastAsia="Arial" w:hAnsi="Arial" w:cs="Arial"/>
          <w:sz w:val="21"/>
          <w:szCs w:val="21"/>
        </w:rPr>
      </w:pPr>
    </w:p>
    <w:p w:rsidR="003A5CE8" w:rsidRDefault="003A5CE8">
      <w:pPr>
        <w:pStyle w:val="A5"/>
        <w:rPr>
          <w:rFonts w:ascii="Arial" w:eastAsia="Arial" w:hAnsi="Arial" w:cs="Arial"/>
          <w:sz w:val="21"/>
          <w:szCs w:val="21"/>
        </w:rPr>
      </w:pPr>
    </w:p>
    <w:p w:rsidR="003A5CE8" w:rsidRDefault="003A5CE8">
      <w:pPr>
        <w:pStyle w:val="A5"/>
        <w:rPr>
          <w:rFonts w:ascii="Arial" w:eastAsia="Arial" w:hAnsi="Arial" w:cs="Arial"/>
          <w:sz w:val="21"/>
          <w:szCs w:val="21"/>
        </w:rPr>
      </w:pPr>
    </w:p>
    <w:p w:rsidR="003A5CE8" w:rsidRDefault="003A5CE8">
      <w:pPr>
        <w:pStyle w:val="A5"/>
        <w:rPr>
          <w:rFonts w:ascii="Arial" w:eastAsia="Arial" w:hAnsi="Arial" w:cs="Arial"/>
          <w:sz w:val="21"/>
          <w:szCs w:val="21"/>
        </w:rPr>
      </w:pPr>
    </w:p>
    <w:p w:rsidR="003A5CE8" w:rsidRDefault="003A5CE8">
      <w:pPr>
        <w:pStyle w:val="A5"/>
        <w:ind w:left="93" w:hanging="93"/>
        <w:rPr>
          <w:rFonts w:ascii="Arial" w:eastAsia="Arial" w:hAnsi="Arial" w:cs="Arial"/>
          <w:sz w:val="21"/>
          <w:szCs w:val="21"/>
        </w:rPr>
      </w:pPr>
    </w:p>
    <w:p w:rsidR="003A5CE8" w:rsidRDefault="003A5CE8">
      <w:pPr>
        <w:pStyle w:val="A5"/>
        <w:ind w:firstLine="420"/>
        <w:rPr>
          <w:rFonts w:ascii="Arial" w:eastAsia="Arial" w:hAnsi="Arial" w:cs="Arial"/>
          <w:sz w:val="21"/>
          <w:szCs w:val="21"/>
        </w:rPr>
      </w:pPr>
    </w:p>
    <w:p w:rsidR="003A5CE8" w:rsidRDefault="007038D7">
      <w:pPr>
        <w:pStyle w:val="A5"/>
        <w:tabs>
          <w:tab w:val="left" w:pos="7800"/>
        </w:tabs>
        <w:ind w:right="48"/>
        <w:rPr>
          <w:rFonts w:ascii="Arial" w:eastAsia="Arial" w:hAnsi="Arial" w:cs="Arial"/>
          <w:b/>
          <w:bCs/>
          <w:sz w:val="21"/>
          <w:szCs w:val="21"/>
        </w:rPr>
      </w:pPr>
      <w:r>
        <w:rPr>
          <w:rFonts w:ascii="Arial"/>
          <w:b/>
          <w:bCs/>
          <w:sz w:val="21"/>
          <w:szCs w:val="21"/>
          <w:lang w:val="en-US"/>
        </w:rPr>
        <w:t>&lt;</w:t>
      </w:r>
      <w:r>
        <w:rPr>
          <w:rFonts w:ascii="宋体" w:eastAsia="宋体" w:hAnsi="宋体" w:cs="宋体"/>
          <w:b/>
          <w:bCs/>
          <w:sz w:val="21"/>
          <w:szCs w:val="21"/>
        </w:rPr>
        <w:t>二</w:t>
      </w:r>
      <w:r>
        <w:rPr>
          <w:rFonts w:ascii="Arial"/>
          <w:b/>
          <w:bCs/>
          <w:sz w:val="21"/>
          <w:szCs w:val="21"/>
          <w:lang w:val="en-US"/>
        </w:rPr>
        <w:t>&gt;</w:t>
      </w:r>
    </w:p>
    <w:p w:rsidR="003A5CE8" w:rsidRDefault="007038D7">
      <w:pPr>
        <w:pStyle w:val="A5"/>
        <w:tabs>
          <w:tab w:val="left" w:pos="7800"/>
        </w:tabs>
        <w:ind w:right="48"/>
        <w:rPr>
          <w:rFonts w:ascii="Arial" w:eastAsia="Arial" w:hAnsi="Arial" w:cs="Arial"/>
          <w:b/>
          <w:bCs/>
          <w:sz w:val="21"/>
          <w:szCs w:val="21"/>
        </w:rPr>
      </w:pPr>
      <w:r>
        <w:rPr>
          <w:rFonts w:ascii="宋体" w:eastAsia="宋体" w:hAnsi="宋体" w:cs="宋体"/>
          <w:b/>
          <w:bCs/>
          <w:sz w:val="21"/>
          <w:szCs w:val="21"/>
        </w:rPr>
        <w:t>精典博维主要业务成果：</w:t>
      </w:r>
    </w:p>
    <w:p w:rsidR="003A5CE8" w:rsidRDefault="007038D7">
      <w:pPr>
        <w:pStyle w:val="A5"/>
        <w:tabs>
          <w:tab w:val="left" w:pos="7800"/>
        </w:tabs>
        <w:ind w:right="48" w:firstLine="420"/>
        <w:rPr>
          <w:rFonts w:ascii="Arial" w:eastAsia="Arial" w:hAnsi="Arial" w:cs="Arial"/>
          <w:sz w:val="21"/>
          <w:szCs w:val="21"/>
        </w:rPr>
      </w:pPr>
      <w:r>
        <w:rPr>
          <w:rFonts w:ascii="宋体" w:eastAsia="宋体" w:hAnsi="宋体" w:cs="宋体"/>
          <w:sz w:val="21"/>
          <w:szCs w:val="21"/>
        </w:rPr>
        <w:t>精典博维先后和美国、欧洲、日本、东南亚、韩国、香港和台湾地区等近千家国际著名出版机构版权贸易和合作交流，出版物成果获得诺贝尔文学奖大师大江健三郎先生盛赞、世界华文文学大家金庸先生垂青，著名国学大师季羡林、欧阳中石、冯其庸、文怀沙先后为该公司题辞。</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2007</w:t>
      </w:r>
      <w:r>
        <w:rPr>
          <w:rFonts w:ascii="宋体" w:eastAsia="宋体" w:hAnsi="宋体" w:cs="宋体"/>
          <w:sz w:val="21"/>
          <w:szCs w:val="21"/>
        </w:rPr>
        <w:t>年出版《洪昭光健康养生精华集》，获得健康时报和新浪读书评选的首届全国健康图书第一名；</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2008</w:t>
      </w:r>
      <w:r>
        <w:rPr>
          <w:rFonts w:ascii="宋体" w:eastAsia="宋体" w:hAnsi="宋体" w:cs="宋体"/>
          <w:sz w:val="21"/>
          <w:szCs w:val="21"/>
        </w:rPr>
        <w:t>年</w:t>
      </w:r>
      <w:r>
        <w:rPr>
          <w:rFonts w:ascii="Arial"/>
          <w:sz w:val="21"/>
          <w:szCs w:val="21"/>
          <w:lang w:val="en-US"/>
        </w:rPr>
        <w:t>1</w:t>
      </w:r>
      <w:r>
        <w:rPr>
          <w:rFonts w:ascii="宋体" w:eastAsia="宋体" w:hAnsi="宋体" w:cs="宋体"/>
          <w:sz w:val="21"/>
          <w:szCs w:val="21"/>
        </w:rPr>
        <w:t>月出版《上帝的指纹》，一经出版便荣登各大排行榜，引发人们对神秘文化的向往，</w:t>
      </w:r>
      <w:r>
        <w:rPr>
          <w:rFonts w:hAnsi="华文宋体"/>
          <w:sz w:val="21"/>
          <w:szCs w:val="21"/>
          <w:lang w:val="en-US"/>
        </w:rPr>
        <w:t>……</w:t>
      </w:r>
      <w:r>
        <w:rPr>
          <w:rFonts w:ascii="宋体" w:eastAsia="宋体" w:hAnsi="宋体" w:cs="宋体"/>
          <w:sz w:val="21"/>
          <w:szCs w:val="21"/>
        </w:rPr>
        <w:t>同时公司致力于外版书的出版。其中有英文版的《亚特兰蒂斯》、《小城风云》、《信使》、《漫漫长夜》，以及琳恩汉密尔顿悬疑推理小说系列：《凯尔特之谜》、《莫切武士之谜》、《马耳他女神》、《非洲旅行团》等等。</w:t>
      </w:r>
    </w:p>
    <w:p w:rsidR="003A5CE8" w:rsidRDefault="007038D7">
      <w:pPr>
        <w:pStyle w:val="A5"/>
        <w:tabs>
          <w:tab w:val="left" w:pos="7800"/>
        </w:tabs>
        <w:ind w:right="48" w:firstLine="210"/>
        <w:rPr>
          <w:rFonts w:ascii="Arial" w:eastAsia="Arial" w:hAnsi="Arial" w:cs="Arial"/>
          <w:sz w:val="21"/>
          <w:szCs w:val="21"/>
        </w:rPr>
      </w:pPr>
      <w:r>
        <w:rPr>
          <w:rFonts w:ascii="宋体" w:eastAsia="宋体" w:hAnsi="宋体" w:cs="宋体"/>
          <w:sz w:val="21"/>
          <w:szCs w:val="21"/>
        </w:rPr>
        <w:t xml:space="preserve">　</w:t>
      </w:r>
      <w:r>
        <w:rPr>
          <w:rFonts w:ascii="Arial"/>
          <w:sz w:val="21"/>
          <w:szCs w:val="21"/>
          <w:lang w:val="en-US"/>
        </w:rPr>
        <w:t>2008</w:t>
      </w:r>
      <w:r>
        <w:rPr>
          <w:rFonts w:ascii="宋体" w:eastAsia="宋体" w:hAnsi="宋体" w:cs="宋体"/>
          <w:sz w:val="21"/>
          <w:szCs w:val="21"/>
        </w:rPr>
        <w:t>年</w:t>
      </w:r>
      <w:r>
        <w:rPr>
          <w:rFonts w:ascii="Arial"/>
          <w:sz w:val="21"/>
          <w:szCs w:val="21"/>
          <w:lang w:val="en-US"/>
        </w:rPr>
        <w:t>10</w:t>
      </w:r>
      <w:r>
        <w:rPr>
          <w:rFonts w:ascii="宋体" w:eastAsia="宋体" w:hAnsi="宋体" w:cs="宋体"/>
          <w:sz w:val="21"/>
          <w:szCs w:val="21"/>
        </w:rPr>
        <w:t>月出版了德国著名作家菲利普的《西斯廷密谋》和《法老墓之谜》等，还有日本作家</w:t>
      </w:r>
      <w:r>
        <w:rPr>
          <w:rFonts w:ascii="Arial"/>
          <w:sz w:val="21"/>
          <w:szCs w:val="21"/>
          <w:lang w:val="en-US"/>
        </w:rPr>
        <w:t>C.W.</w:t>
      </w:r>
      <w:r>
        <w:rPr>
          <w:rFonts w:ascii="宋体" w:eastAsia="宋体" w:hAnsi="宋体" w:cs="宋体"/>
          <w:sz w:val="21"/>
          <w:szCs w:val="21"/>
        </w:rPr>
        <w:t>尼可的《看得见风的男孩》、《北极乌鸦的故事》、《威士忌猫咪》，以及《大江健三郎口述自传》，皆引起了较大反响。</w:t>
      </w:r>
    </w:p>
    <w:p w:rsidR="003A5CE8" w:rsidRDefault="007038D7">
      <w:pPr>
        <w:pStyle w:val="A5"/>
        <w:tabs>
          <w:tab w:val="left" w:pos="7800"/>
        </w:tabs>
        <w:ind w:right="48" w:firstLine="473"/>
        <w:rPr>
          <w:rFonts w:ascii="Arial" w:eastAsia="Arial" w:hAnsi="Arial" w:cs="Arial"/>
          <w:sz w:val="21"/>
          <w:szCs w:val="21"/>
        </w:rPr>
      </w:pPr>
      <w:r>
        <w:rPr>
          <w:rFonts w:ascii="Arial"/>
          <w:sz w:val="21"/>
          <w:szCs w:val="21"/>
          <w:lang w:val="en-US"/>
        </w:rPr>
        <w:t>2008</w:t>
      </w:r>
      <w:r>
        <w:rPr>
          <w:rFonts w:ascii="宋体" w:eastAsia="宋体" w:hAnsi="宋体" w:cs="宋体"/>
          <w:sz w:val="21"/>
          <w:szCs w:val="21"/>
        </w:rPr>
        <w:t>年精典博维并购贝塔斯曼旗下出版公司</w:t>
      </w:r>
      <w:r>
        <w:rPr>
          <w:rFonts w:ascii="Arial"/>
          <w:sz w:val="21"/>
          <w:szCs w:val="21"/>
          <w:lang w:val="en-US"/>
        </w:rPr>
        <w:t>--</w:t>
      </w:r>
      <w:r>
        <w:rPr>
          <w:rFonts w:ascii="宋体" w:eastAsia="宋体" w:hAnsi="宋体" w:cs="宋体"/>
          <w:sz w:val="21"/>
          <w:szCs w:val="21"/>
        </w:rPr>
        <w:t>杭州贝榕图书有限公司，完成一次重大转型。公司旗下拥有数十位国内一线畅销作家的一线作品。作品《奋斗》、《素年锦</w:t>
      </w:r>
      <w:r>
        <w:rPr>
          <w:rFonts w:ascii="宋体" w:eastAsia="宋体" w:hAnsi="宋体" w:cs="宋体"/>
          <w:sz w:val="21"/>
          <w:szCs w:val="21"/>
        </w:rPr>
        <w:lastRenderedPageBreak/>
        <w:t>时》、《饶雪漫全集》、《光荣日》、《沙僧日记》</w:t>
      </w:r>
      <w:r>
        <w:rPr>
          <w:rFonts w:hAnsi="华文宋体"/>
          <w:sz w:val="21"/>
          <w:szCs w:val="21"/>
          <w:lang w:val="en-US"/>
        </w:rPr>
        <w:t>……</w:t>
      </w:r>
      <w:r>
        <w:rPr>
          <w:rFonts w:ascii="宋体" w:eastAsia="宋体" w:hAnsi="宋体" w:cs="宋体"/>
          <w:sz w:val="21"/>
          <w:szCs w:val="21"/>
        </w:rPr>
        <w:t>更是引领了不同类型文学的畅销风潮。</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2009</w:t>
      </w:r>
      <w:r>
        <w:rPr>
          <w:rFonts w:ascii="宋体" w:eastAsia="宋体" w:hAnsi="宋体" w:cs="宋体"/>
          <w:sz w:val="21"/>
          <w:szCs w:val="21"/>
        </w:rPr>
        <w:t>年公司与华谊兄弟、海润影视、天星传媒等知名企业深度合作，相继推出《拉贝日记》、《电影风声传奇》、《红海洋》、《宝莲灯》等畅销影视作品，掀起了影视图书的热销浪潮。</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2009</w:t>
      </w:r>
      <w:r>
        <w:rPr>
          <w:rFonts w:ascii="宋体" w:eastAsia="宋体" w:hAnsi="宋体" w:cs="宋体"/>
          <w:sz w:val="21"/>
          <w:szCs w:val="21"/>
        </w:rPr>
        <w:t>年公司与当当网达成超级战略合作伙伴关系，共同策划活动</w:t>
      </w:r>
      <w:r>
        <w:rPr>
          <w:rFonts w:ascii="Arial"/>
          <w:sz w:val="21"/>
          <w:szCs w:val="21"/>
          <w:lang w:val="en-US"/>
        </w:rPr>
        <w:t>10</w:t>
      </w:r>
      <w:r>
        <w:rPr>
          <w:rFonts w:ascii="宋体" w:eastAsia="宋体" w:hAnsi="宋体" w:cs="宋体"/>
          <w:sz w:val="21"/>
          <w:szCs w:val="21"/>
        </w:rPr>
        <w:t>余起。</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2011</w:t>
      </w:r>
      <w:r>
        <w:rPr>
          <w:rFonts w:ascii="宋体" w:eastAsia="宋体" w:hAnsi="宋体" w:cs="宋体"/>
          <w:sz w:val="21"/>
          <w:szCs w:val="21"/>
        </w:rPr>
        <w:t>年度出版麦家《风语</w:t>
      </w:r>
      <w:r>
        <w:rPr>
          <w:rFonts w:ascii="Arial"/>
          <w:sz w:val="21"/>
          <w:szCs w:val="21"/>
          <w:lang w:val="en-US"/>
        </w:rPr>
        <w:t>2</w:t>
      </w:r>
      <w:r>
        <w:rPr>
          <w:rFonts w:ascii="宋体" w:eastAsia="宋体" w:hAnsi="宋体" w:cs="宋体"/>
          <w:sz w:val="21"/>
          <w:szCs w:val="21"/>
        </w:rPr>
        <w:t>》、黄亚洲《建党伟业》、楚渔《中国人的思维批判》、姚非拉绘本《鬼吹灯》、颜歌《声音乐团》、山冈庄八《太平洋战争》等重磅图书。</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2012</w:t>
      </w:r>
      <w:r>
        <w:rPr>
          <w:rFonts w:ascii="宋体" w:eastAsia="宋体" w:hAnsi="宋体" w:cs="宋体"/>
          <w:sz w:val="21"/>
          <w:szCs w:val="21"/>
        </w:rPr>
        <w:t>年度推出励志经典《名人的磨难》，此书被推选为迎十八大重点书目。</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2012</w:t>
      </w:r>
      <w:r>
        <w:rPr>
          <w:rFonts w:ascii="宋体" w:eastAsia="宋体" w:hAnsi="宋体" w:cs="宋体"/>
          <w:sz w:val="21"/>
          <w:szCs w:val="21"/>
        </w:rPr>
        <w:t>年，结集出版名作家莫言的系列文集，其作者</w:t>
      </w:r>
      <w:r>
        <w:rPr>
          <w:rFonts w:ascii="宋体" w:eastAsia="宋体" w:hAnsi="宋体" w:cs="宋体"/>
          <w:b/>
          <w:bCs/>
          <w:sz w:val="21"/>
          <w:szCs w:val="21"/>
        </w:rPr>
        <w:t>莫言获得</w:t>
      </w:r>
      <w:r>
        <w:rPr>
          <w:rFonts w:ascii="Arial"/>
          <w:b/>
          <w:bCs/>
          <w:sz w:val="21"/>
          <w:szCs w:val="21"/>
          <w:lang w:val="en-US"/>
        </w:rPr>
        <w:t>2012</w:t>
      </w:r>
      <w:r>
        <w:rPr>
          <w:rFonts w:ascii="宋体" w:eastAsia="宋体" w:hAnsi="宋体" w:cs="宋体"/>
          <w:b/>
          <w:bCs/>
          <w:sz w:val="21"/>
          <w:szCs w:val="21"/>
        </w:rPr>
        <w:t>年诺贝尔文学奖</w:t>
      </w:r>
      <w:r>
        <w:rPr>
          <w:rFonts w:ascii="宋体" w:eastAsia="宋体" w:hAnsi="宋体" w:cs="宋体"/>
          <w:sz w:val="21"/>
          <w:szCs w:val="21"/>
        </w:rPr>
        <w:t>。</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2013</w:t>
      </w:r>
      <w:r>
        <w:rPr>
          <w:rFonts w:ascii="宋体" w:eastAsia="宋体" w:hAnsi="宋体" w:cs="宋体"/>
          <w:sz w:val="21"/>
          <w:szCs w:val="21"/>
        </w:rPr>
        <w:t>年，陈河的新作《猹》荣获人民文学年度中篇小说奖。</w:t>
      </w:r>
    </w:p>
    <w:p w:rsidR="003A5CE8" w:rsidRDefault="007038D7">
      <w:pPr>
        <w:pStyle w:val="A5"/>
        <w:tabs>
          <w:tab w:val="left" w:pos="7800"/>
        </w:tabs>
        <w:ind w:right="48" w:firstLine="420"/>
        <w:rPr>
          <w:rFonts w:ascii="Arial" w:eastAsia="Arial" w:hAnsi="Arial" w:cs="Arial"/>
          <w:sz w:val="21"/>
          <w:szCs w:val="21"/>
        </w:rPr>
      </w:pPr>
      <w:r>
        <w:rPr>
          <w:rFonts w:ascii="Arial"/>
          <w:sz w:val="21"/>
          <w:szCs w:val="21"/>
          <w:lang w:val="en-US"/>
        </w:rPr>
        <w:t>2014</w:t>
      </w:r>
      <w:r>
        <w:rPr>
          <w:rFonts w:ascii="宋体" w:eastAsia="宋体" w:hAnsi="宋体" w:cs="宋体"/>
          <w:sz w:val="21"/>
          <w:szCs w:val="21"/>
        </w:rPr>
        <w:t>年，</w:t>
      </w:r>
      <w:r>
        <w:rPr>
          <w:rFonts w:ascii="宋体" w:eastAsia="宋体" w:hAnsi="宋体" w:cs="宋体"/>
          <w:b/>
          <w:bCs/>
          <w:sz w:val="21"/>
          <w:szCs w:val="21"/>
        </w:rPr>
        <w:t>签约作家阎连科荣获</w:t>
      </w:r>
      <w:r>
        <w:rPr>
          <w:rFonts w:ascii="Arial"/>
          <w:b/>
          <w:bCs/>
          <w:sz w:val="21"/>
          <w:szCs w:val="21"/>
          <w:lang w:val="en-US"/>
        </w:rPr>
        <w:t>2014</w:t>
      </w:r>
      <w:r>
        <w:rPr>
          <w:rFonts w:ascii="宋体" w:eastAsia="宋体" w:hAnsi="宋体" w:cs="宋体"/>
          <w:b/>
          <w:bCs/>
          <w:sz w:val="21"/>
          <w:szCs w:val="21"/>
        </w:rPr>
        <w:t>年卡夫卡文学奖</w:t>
      </w:r>
      <w:r>
        <w:rPr>
          <w:rFonts w:ascii="宋体" w:eastAsia="宋体" w:hAnsi="宋体" w:cs="宋体"/>
          <w:sz w:val="21"/>
          <w:szCs w:val="21"/>
        </w:rPr>
        <w:t>，《无尽藏》荣获《中国作家》第三届剑门关文学奖长篇小说奖。</w:t>
      </w:r>
    </w:p>
    <w:p w:rsidR="003A5CE8" w:rsidRDefault="007038D7">
      <w:pPr>
        <w:pStyle w:val="a7"/>
        <w:tabs>
          <w:tab w:val="left" w:pos="7800"/>
        </w:tabs>
        <w:spacing w:line="240" w:lineRule="auto"/>
        <w:ind w:right="48" w:firstLine="372"/>
        <w:jc w:val="left"/>
        <w:rPr>
          <w:rFonts w:ascii="Arial" w:eastAsia="Arial" w:hAnsi="Arial" w:cs="Arial"/>
          <w:sz w:val="21"/>
          <w:szCs w:val="21"/>
          <w:lang w:val="en-US"/>
        </w:rPr>
      </w:pPr>
      <w:r>
        <w:rPr>
          <w:rFonts w:ascii="宋体" w:eastAsia="宋体" w:hAnsi="宋体" w:cs="宋体"/>
          <w:sz w:val="21"/>
          <w:szCs w:val="21"/>
        </w:rPr>
        <w:t>除了图书出版发行之外，旅游传媒也发展得生机勃勃。</w:t>
      </w:r>
      <w:r>
        <w:rPr>
          <w:rFonts w:ascii="Arial"/>
          <w:sz w:val="21"/>
          <w:szCs w:val="21"/>
          <w:lang w:val="en-US"/>
        </w:rPr>
        <w:t>2011</w:t>
      </w:r>
      <w:r>
        <w:rPr>
          <w:rFonts w:ascii="宋体" w:eastAsia="宋体" w:hAnsi="宋体" w:cs="宋体"/>
          <w:sz w:val="21"/>
          <w:szCs w:val="21"/>
        </w:rPr>
        <w:t>年精典博维开始承办《北京旅游》杂志，着力展示北京旅游与文化。覆盖北京四星级以上酒店逾</w:t>
      </w:r>
      <w:r>
        <w:rPr>
          <w:rFonts w:ascii="Arial"/>
          <w:sz w:val="21"/>
          <w:szCs w:val="21"/>
          <w:lang w:val="en-US"/>
        </w:rPr>
        <w:t>13</w:t>
      </w:r>
      <w:r>
        <w:rPr>
          <w:rFonts w:ascii="宋体" w:eastAsia="宋体" w:hAnsi="宋体" w:cs="宋体"/>
          <w:sz w:val="21"/>
          <w:szCs w:val="21"/>
        </w:rPr>
        <w:t>万间客房，以及全国机场、高铁站和各旅游景点咨询站等。被誉为</w:t>
      </w:r>
      <w:r>
        <w:rPr>
          <w:rFonts w:hAnsi="华文宋体"/>
          <w:sz w:val="21"/>
          <w:szCs w:val="21"/>
          <w:lang w:val="en-US"/>
        </w:rPr>
        <w:t>“</w:t>
      </w:r>
      <w:r>
        <w:rPr>
          <w:rFonts w:ascii="宋体" w:eastAsia="宋体" w:hAnsi="宋体" w:cs="宋体"/>
          <w:sz w:val="21"/>
          <w:szCs w:val="21"/>
        </w:rPr>
        <w:t>中国成长最快的杂志</w:t>
      </w:r>
      <w:r>
        <w:rPr>
          <w:rFonts w:hAnsi="华文宋体"/>
          <w:sz w:val="21"/>
          <w:szCs w:val="21"/>
          <w:lang w:val="en-US"/>
        </w:rPr>
        <w:t>”</w:t>
      </w:r>
      <w:r>
        <w:rPr>
          <w:rFonts w:ascii="宋体" w:eastAsia="宋体" w:hAnsi="宋体" w:cs="宋体"/>
          <w:sz w:val="21"/>
          <w:szCs w:val="21"/>
        </w:rPr>
        <w:t>。</w:t>
      </w:r>
      <w:r>
        <w:rPr>
          <w:rFonts w:ascii="Arial"/>
          <w:sz w:val="21"/>
          <w:szCs w:val="21"/>
          <w:lang w:val="en-US"/>
        </w:rPr>
        <w:t>2013</w:t>
      </w:r>
      <w:r>
        <w:rPr>
          <w:rFonts w:ascii="宋体" w:eastAsia="宋体" w:hAnsi="宋体" w:cs="宋体"/>
          <w:sz w:val="21"/>
          <w:szCs w:val="21"/>
        </w:rPr>
        <w:t>年公司又承办了世界旅游城市联合会主管的《世界城市旅游》杂志、高端商务杂志《创享》、《首都旅游》报，《天津旅游》、以及《北京故事》杂志。</w:t>
      </w:r>
    </w:p>
    <w:p w:rsidR="003A5CE8" w:rsidRDefault="007038D7">
      <w:pPr>
        <w:pStyle w:val="A5"/>
        <w:tabs>
          <w:tab w:val="left" w:pos="7800"/>
        </w:tabs>
        <w:ind w:right="48" w:firstLine="372"/>
        <w:rPr>
          <w:rFonts w:ascii="Arial" w:eastAsia="Arial" w:hAnsi="Arial" w:cs="Arial"/>
          <w:sz w:val="21"/>
          <w:szCs w:val="21"/>
        </w:rPr>
      </w:pPr>
      <w:r>
        <w:rPr>
          <w:rFonts w:ascii="宋体" w:eastAsia="宋体" w:hAnsi="宋体" w:cs="宋体"/>
          <w:sz w:val="21"/>
          <w:szCs w:val="21"/>
        </w:rPr>
        <w:t>精典博维</w:t>
      </w:r>
      <w:r>
        <w:rPr>
          <w:rFonts w:hAnsi="华文宋体"/>
          <w:sz w:val="21"/>
          <w:szCs w:val="21"/>
          <w:lang w:val="en-US"/>
        </w:rPr>
        <w:t>“</w:t>
      </w:r>
      <w:r>
        <w:rPr>
          <w:rFonts w:ascii="Arial"/>
          <w:sz w:val="21"/>
          <w:szCs w:val="21"/>
          <w:lang w:val="en-US"/>
        </w:rPr>
        <w:t>24</w:t>
      </w:r>
      <w:r>
        <w:rPr>
          <w:rFonts w:ascii="宋体" w:eastAsia="宋体" w:hAnsi="宋体" w:cs="宋体"/>
          <w:sz w:val="21"/>
          <w:szCs w:val="21"/>
        </w:rPr>
        <w:t>小时博书屋</w:t>
      </w:r>
      <w:r>
        <w:rPr>
          <w:rFonts w:hAnsi="华文宋体"/>
          <w:sz w:val="21"/>
          <w:szCs w:val="21"/>
          <w:lang w:val="en-US"/>
        </w:rPr>
        <w:t>”</w:t>
      </w:r>
      <w:r>
        <w:rPr>
          <w:rFonts w:ascii="宋体" w:eastAsia="宋体" w:hAnsi="宋体" w:cs="宋体"/>
          <w:sz w:val="21"/>
          <w:szCs w:val="21"/>
        </w:rPr>
        <w:t>作为首家民营</w:t>
      </w:r>
      <w:r>
        <w:rPr>
          <w:rFonts w:ascii="Arial"/>
          <w:sz w:val="21"/>
          <w:szCs w:val="21"/>
          <w:lang w:val="en-US"/>
        </w:rPr>
        <w:t>24</w:t>
      </w:r>
      <w:r>
        <w:rPr>
          <w:rFonts w:ascii="宋体" w:eastAsia="宋体" w:hAnsi="宋体" w:cs="宋体"/>
          <w:sz w:val="21"/>
          <w:szCs w:val="21"/>
        </w:rPr>
        <w:t>小时实体书店，它巧妙融合图书、数字阅读、小剧场、咖啡吧、名家讲堂、艺术品展示等于一体，形成传统与现代结合的多元化文化空间。</w:t>
      </w:r>
      <w:r>
        <w:rPr>
          <w:rFonts w:ascii="Arial"/>
          <w:sz w:val="21"/>
          <w:szCs w:val="21"/>
          <w:lang w:val="en-US"/>
        </w:rPr>
        <w:t>2014</w:t>
      </w:r>
      <w:r>
        <w:rPr>
          <w:rFonts w:ascii="宋体" w:eastAsia="宋体" w:hAnsi="宋体" w:cs="宋体"/>
          <w:sz w:val="21"/>
          <w:szCs w:val="21"/>
        </w:rPr>
        <w:t>年</w:t>
      </w:r>
      <w:r>
        <w:rPr>
          <w:rFonts w:ascii="Arial"/>
          <w:sz w:val="21"/>
          <w:szCs w:val="21"/>
          <w:lang w:val="en-US"/>
        </w:rPr>
        <w:t>9</w:t>
      </w:r>
      <w:r>
        <w:rPr>
          <w:rFonts w:ascii="宋体" w:eastAsia="宋体" w:hAnsi="宋体" w:cs="宋体"/>
          <w:sz w:val="21"/>
          <w:szCs w:val="21"/>
        </w:rPr>
        <w:t>月博书屋被评为</w:t>
      </w:r>
      <w:r>
        <w:rPr>
          <w:rFonts w:hAnsi="华文宋体"/>
          <w:sz w:val="21"/>
          <w:szCs w:val="21"/>
          <w:lang w:val="en-US"/>
        </w:rPr>
        <w:t>“</w:t>
      </w:r>
      <w:r>
        <w:rPr>
          <w:rFonts w:ascii="宋体" w:eastAsia="宋体" w:hAnsi="宋体" w:cs="宋体"/>
          <w:sz w:val="21"/>
          <w:szCs w:val="21"/>
        </w:rPr>
        <w:t>北京阅读季最美阅读空间</w:t>
      </w:r>
      <w:r>
        <w:rPr>
          <w:rFonts w:hAnsi="华文宋体"/>
          <w:sz w:val="21"/>
          <w:szCs w:val="21"/>
          <w:lang w:val="en-US"/>
        </w:rPr>
        <w:t>”</w:t>
      </w:r>
      <w:r>
        <w:rPr>
          <w:rFonts w:ascii="宋体" w:eastAsia="宋体" w:hAnsi="宋体" w:cs="宋体"/>
          <w:sz w:val="21"/>
          <w:szCs w:val="21"/>
        </w:rPr>
        <w:t>。</w:t>
      </w:r>
    </w:p>
    <w:p w:rsidR="003A5CE8" w:rsidRDefault="007038D7">
      <w:pPr>
        <w:pStyle w:val="A5"/>
        <w:tabs>
          <w:tab w:val="left" w:pos="7800"/>
        </w:tabs>
        <w:ind w:right="48" w:firstLine="372"/>
        <w:rPr>
          <w:rFonts w:ascii="Arial" w:eastAsia="Arial" w:hAnsi="Arial" w:cs="Arial"/>
          <w:sz w:val="21"/>
          <w:szCs w:val="21"/>
        </w:rPr>
      </w:pPr>
      <w:r>
        <w:rPr>
          <w:rFonts w:ascii="Arial"/>
          <w:sz w:val="21"/>
          <w:szCs w:val="21"/>
          <w:lang w:val="en-US"/>
        </w:rPr>
        <w:t>2014</w:t>
      </w:r>
      <w:r>
        <w:rPr>
          <w:rFonts w:ascii="宋体" w:eastAsia="宋体" w:hAnsi="宋体" w:cs="宋体"/>
          <w:sz w:val="21"/>
          <w:szCs w:val="21"/>
        </w:rPr>
        <w:t>年</w:t>
      </w:r>
      <w:r>
        <w:rPr>
          <w:rFonts w:ascii="Arial"/>
          <w:sz w:val="21"/>
          <w:szCs w:val="21"/>
          <w:lang w:val="en-US"/>
        </w:rPr>
        <w:t>5</w:t>
      </w:r>
      <w:r>
        <w:rPr>
          <w:rFonts w:ascii="宋体" w:eastAsia="宋体" w:hAnsi="宋体" w:cs="宋体"/>
          <w:sz w:val="21"/>
          <w:szCs w:val="21"/>
        </w:rPr>
        <w:t>月，精典博维旗下数字出版内容平台半壁江中文网（含明月阁小说网）成为中国作家协会全国网络文学联席会议</w:t>
      </w:r>
      <w:r>
        <w:rPr>
          <w:rFonts w:ascii="Arial"/>
          <w:sz w:val="21"/>
          <w:szCs w:val="21"/>
          <w:lang w:val="en-US"/>
        </w:rPr>
        <w:t>28</w:t>
      </w:r>
      <w:r>
        <w:rPr>
          <w:rFonts w:ascii="宋体" w:eastAsia="宋体" w:hAnsi="宋体" w:cs="宋体"/>
          <w:sz w:val="21"/>
          <w:szCs w:val="21"/>
        </w:rPr>
        <w:t>家重点网站之一，并且成为新闻出版广电总局和中国作家协会共同发起的</w:t>
      </w:r>
      <w:r>
        <w:rPr>
          <w:rFonts w:ascii="Arial"/>
          <w:sz w:val="21"/>
          <w:szCs w:val="21"/>
          <w:lang w:val="en-US"/>
        </w:rPr>
        <w:t>2014</w:t>
      </w:r>
      <w:r>
        <w:rPr>
          <w:rFonts w:ascii="宋体" w:eastAsia="宋体" w:hAnsi="宋体" w:cs="宋体"/>
          <w:sz w:val="21"/>
          <w:szCs w:val="21"/>
        </w:rPr>
        <w:t>年度全国网络文学理论研讨会</w:t>
      </w:r>
      <w:r>
        <w:rPr>
          <w:rFonts w:ascii="Arial"/>
          <w:sz w:val="21"/>
          <w:szCs w:val="21"/>
          <w:lang w:val="en-US"/>
        </w:rPr>
        <w:t>28</w:t>
      </w:r>
      <w:r>
        <w:rPr>
          <w:rFonts w:ascii="宋体" w:eastAsia="宋体" w:hAnsi="宋体" w:cs="宋体"/>
          <w:sz w:val="21"/>
          <w:szCs w:val="21"/>
        </w:rPr>
        <w:t>家与会重点网站之一。公司数字出版业务（半壁江中文网）已先后接入中国移动、中国联通和中国电信三大阅读基地，并与</w:t>
      </w:r>
      <w:r>
        <w:rPr>
          <w:rFonts w:ascii="Arial"/>
          <w:sz w:val="21"/>
          <w:szCs w:val="21"/>
          <w:lang w:val="en-US"/>
        </w:rPr>
        <w:t>12</w:t>
      </w:r>
      <w:r>
        <w:rPr>
          <w:rFonts w:ascii="宋体" w:eastAsia="宋体" w:hAnsi="宋体" w:cs="宋体"/>
          <w:sz w:val="21"/>
          <w:szCs w:val="21"/>
        </w:rPr>
        <w:t>家国内主流分销平台达成了战略合作。</w:t>
      </w:r>
    </w:p>
    <w:p w:rsidR="003A5CE8" w:rsidRDefault="003A5CE8">
      <w:pPr>
        <w:pStyle w:val="A5"/>
        <w:tabs>
          <w:tab w:val="left" w:pos="7800"/>
        </w:tabs>
        <w:ind w:right="48"/>
        <w:rPr>
          <w:rFonts w:ascii="Arial" w:eastAsia="Arial" w:hAnsi="Arial" w:cs="Arial"/>
          <w:sz w:val="21"/>
          <w:szCs w:val="21"/>
        </w:rPr>
      </w:pPr>
    </w:p>
    <w:p w:rsidR="003A5CE8" w:rsidRDefault="007038D7">
      <w:pPr>
        <w:pStyle w:val="A5"/>
        <w:tabs>
          <w:tab w:val="left" w:pos="7800"/>
        </w:tabs>
        <w:ind w:right="48"/>
        <w:rPr>
          <w:rFonts w:ascii="宋体" w:eastAsia="宋体" w:hAnsi="宋体" w:cs="宋体"/>
          <w:sz w:val="28"/>
          <w:szCs w:val="28"/>
        </w:rPr>
      </w:pPr>
      <w:r>
        <w:rPr>
          <w:rFonts w:ascii="宋体" w:eastAsia="宋体" w:hAnsi="宋体" w:cs="宋体"/>
          <w:sz w:val="21"/>
          <w:szCs w:val="21"/>
        </w:rPr>
        <w:t>历年获奖作家和作品一览：</w:t>
      </w:r>
    </w:p>
    <w:tbl>
      <w:tblPr>
        <w:tblStyle w:val="TableNormal"/>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80"/>
        <w:gridCol w:w="2054"/>
        <w:gridCol w:w="6505"/>
      </w:tblGrid>
      <w:tr w:rsidR="003A5CE8">
        <w:trPr>
          <w:trHeight w:val="545"/>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jc w:val="center"/>
            </w:pPr>
            <w:r>
              <w:rPr>
                <w:rFonts w:ascii="宋体" w:eastAsia="宋体" w:hAnsi="宋体" w:cs="宋体"/>
                <w:b/>
                <w:bCs/>
                <w:kern w:val="0"/>
                <w:sz w:val="18"/>
                <w:szCs w:val="18"/>
              </w:rPr>
              <w:t>日期</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jc w:val="center"/>
            </w:pPr>
            <w:r>
              <w:rPr>
                <w:rFonts w:ascii="宋体" w:eastAsia="宋体" w:hAnsi="宋体" w:cs="宋体"/>
                <w:b/>
                <w:bCs/>
                <w:kern w:val="0"/>
                <w:sz w:val="18"/>
                <w:szCs w:val="18"/>
              </w:rPr>
              <w:t>获奖书目或作家</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jc w:val="center"/>
            </w:pPr>
            <w:r>
              <w:rPr>
                <w:rFonts w:ascii="宋体" w:eastAsia="宋体" w:hAnsi="宋体" w:cs="宋体"/>
                <w:b/>
                <w:bCs/>
                <w:kern w:val="0"/>
                <w:sz w:val="18"/>
                <w:szCs w:val="18"/>
              </w:rPr>
              <w:t>获奖名称</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1996</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《黄金洞》</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第一届鲁迅文学奖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1997</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《年月日》</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第二届鲁迅文学奖</w:t>
            </w:r>
          </w:p>
        </w:tc>
      </w:tr>
      <w:tr w:rsidR="003A5CE8">
        <w:trPr>
          <w:trHeight w:val="58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2006</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《如何掌控自己的时间和生活》</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百种优秀青春读物</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2006</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《受活》</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第三届老舍文学奖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2008</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《风雅颂》</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亚洲周刊全球华语</w:t>
            </w:r>
            <w:r>
              <w:rPr>
                <w:rFonts w:ascii="宋体" w:eastAsia="宋体" w:hAnsi="宋体" w:cs="宋体"/>
                <w:kern w:val="0"/>
                <w:sz w:val="18"/>
                <w:szCs w:val="18"/>
                <w:lang w:val="en-US"/>
              </w:rPr>
              <w:t>10</w:t>
            </w:r>
            <w:r>
              <w:rPr>
                <w:rFonts w:ascii="宋体" w:eastAsia="宋体" w:hAnsi="宋体" w:cs="宋体"/>
                <w:kern w:val="0"/>
                <w:sz w:val="18"/>
                <w:szCs w:val="18"/>
              </w:rPr>
              <w:t>部好书</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2008</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《日光流年》</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建国</w:t>
            </w:r>
            <w:r>
              <w:rPr>
                <w:rFonts w:ascii="宋体" w:eastAsia="宋体" w:hAnsi="宋体" w:cs="宋体"/>
                <w:kern w:val="0"/>
                <w:sz w:val="18"/>
                <w:szCs w:val="18"/>
                <w:lang w:val="en-US"/>
              </w:rPr>
              <w:t>60</w:t>
            </w:r>
            <w:r>
              <w:rPr>
                <w:rFonts w:ascii="宋体" w:eastAsia="宋体" w:hAnsi="宋体" w:cs="宋体"/>
                <w:kern w:val="0"/>
                <w:sz w:val="18"/>
                <w:szCs w:val="18"/>
              </w:rPr>
              <w:t>年优秀文库</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2008</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《坚硬如水》</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九头鸟优秀长篇奖</w:t>
            </w:r>
          </w:p>
        </w:tc>
      </w:tr>
      <w:tr w:rsidR="003A5CE8">
        <w:trPr>
          <w:trHeight w:val="58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2008</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《洪昭光健康养生精华集》</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首届中国十大健康好书</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2009</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《红海洋》</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中国图书榜中榜 最受读者关注图书</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《风语》</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大众喜爱的</w:t>
            </w:r>
            <w:r>
              <w:rPr>
                <w:rFonts w:ascii="宋体" w:eastAsia="宋体" w:hAnsi="宋体" w:cs="宋体"/>
                <w:kern w:val="0"/>
                <w:sz w:val="18"/>
                <w:szCs w:val="18"/>
                <w:lang w:val="en-US"/>
              </w:rPr>
              <w:t>50</w:t>
            </w:r>
            <w:r>
              <w:rPr>
                <w:rFonts w:ascii="宋体" w:eastAsia="宋体" w:hAnsi="宋体" w:cs="宋体"/>
                <w:kern w:val="0"/>
                <w:sz w:val="18"/>
                <w:szCs w:val="18"/>
              </w:rPr>
              <w:t>种图书</w:t>
            </w:r>
          </w:p>
        </w:tc>
      </w:tr>
      <w:tr w:rsidR="003A5CE8">
        <w:trPr>
          <w:trHeight w:val="58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lastRenderedPageBreak/>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《风语》</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荣获《出版人》杂志社颁发的</w:t>
            </w:r>
            <w:r>
              <w:rPr>
                <w:rFonts w:ascii="宋体" w:eastAsia="宋体" w:hAnsi="宋体" w:cs="宋体"/>
                <w:kern w:val="0"/>
                <w:sz w:val="18"/>
                <w:szCs w:val="18"/>
                <w:lang w:val="en-US"/>
              </w:rPr>
              <w:t>“2010</w:t>
            </w:r>
            <w:r>
              <w:rPr>
                <w:rFonts w:ascii="宋体" w:eastAsia="宋体" w:hAnsi="宋体" w:cs="宋体"/>
                <w:kern w:val="0"/>
                <w:sz w:val="18"/>
                <w:szCs w:val="18"/>
              </w:rPr>
              <w:t>中国书业年度评选</w:t>
            </w:r>
            <w:r>
              <w:rPr>
                <w:rFonts w:ascii="宋体" w:eastAsia="宋体" w:hAnsi="宋体" w:cs="宋体"/>
                <w:kern w:val="0"/>
                <w:sz w:val="18"/>
                <w:szCs w:val="18"/>
                <w:lang w:val="en-US"/>
              </w:rPr>
              <w:t>-</w:t>
            </w:r>
            <w:r>
              <w:rPr>
                <w:rFonts w:ascii="宋体" w:eastAsia="宋体" w:hAnsi="宋体" w:cs="宋体"/>
                <w:kern w:val="0"/>
                <w:sz w:val="18"/>
                <w:szCs w:val="18"/>
              </w:rPr>
              <w:t>年度文学类图书</w:t>
            </w:r>
            <w:r>
              <w:rPr>
                <w:rFonts w:ascii="宋体" w:eastAsia="宋体" w:hAnsi="宋体" w:cs="宋体"/>
                <w:kern w:val="0"/>
                <w:sz w:val="18"/>
                <w:szCs w:val="18"/>
                <w:lang w:val="en-US"/>
              </w:rPr>
              <w:t>”</w:t>
            </w:r>
            <w:r>
              <w:rPr>
                <w:rFonts w:ascii="宋体" w:eastAsia="宋体" w:hAnsi="宋体" w:cs="宋体"/>
                <w:kern w:val="0"/>
                <w:sz w:val="18"/>
                <w:szCs w:val="18"/>
              </w:rPr>
              <w:t>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《风语》</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被</w:t>
            </w:r>
            <w:r>
              <w:rPr>
                <w:rFonts w:ascii="宋体" w:eastAsia="宋体" w:hAnsi="宋体" w:cs="宋体"/>
                <w:kern w:val="0"/>
                <w:sz w:val="18"/>
                <w:szCs w:val="18"/>
                <w:lang w:val="en-US"/>
              </w:rPr>
              <w:t>“</w:t>
            </w:r>
            <w:r>
              <w:rPr>
                <w:rFonts w:ascii="宋体" w:eastAsia="宋体" w:hAnsi="宋体" w:cs="宋体"/>
                <w:kern w:val="0"/>
                <w:sz w:val="18"/>
                <w:szCs w:val="18"/>
              </w:rPr>
              <w:t>搜狐读书</w:t>
            </w:r>
            <w:r>
              <w:rPr>
                <w:rFonts w:ascii="宋体" w:eastAsia="宋体" w:hAnsi="宋体" w:cs="宋体"/>
                <w:kern w:val="0"/>
                <w:sz w:val="18"/>
                <w:szCs w:val="18"/>
                <w:lang w:val="en-US"/>
              </w:rPr>
              <w:t>”</w:t>
            </w:r>
            <w:r>
              <w:rPr>
                <w:rFonts w:ascii="宋体" w:eastAsia="宋体" w:hAnsi="宋体" w:cs="宋体"/>
                <w:kern w:val="0"/>
                <w:sz w:val="18"/>
                <w:szCs w:val="18"/>
              </w:rPr>
              <w:t>评选为</w:t>
            </w:r>
            <w:r>
              <w:rPr>
                <w:rFonts w:ascii="宋体" w:eastAsia="宋体" w:hAnsi="宋体" w:cs="宋体"/>
                <w:kern w:val="0"/>
                <w:sz w:val="18"/>
                <w:szCs w:val="18"/>
                <w:lang w:val="en-US"/>
              </w:rPr>
              <w:t>“2010</w:t>
            </w:r>
            <w:r>
              <w:rPr>
                <w:rFonts w:ascii="宋体" w:eastAsia="宋体" w:hAnsi="宋体" w:cs="宋体"/>
                <w:kern w:val="0"/>
                <w:sz w:val="18"/>
                <w:szCs w:val="18"/>
              </w:rPr>
              <w:t>年中国书业年度图书奖</w:t>
            </w:r>
            <w:r>
              <w:rPr>
                <w:rFonts w:ascii="宋体" w:eastAsia="宋体" w:hAnsi="宋体" w:cs="宋体"/>
                <w:kern w:val="0"/>
                <w:sz w:val="18"/>
                <w:szCs w:val="18"/>
                <w:lang w:val="en-US"/>
              </w:rPr>
              <w:t>”</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陈河</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首届郁达夫小说奖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《沙捞越战事》</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荣获第二届</w:t>
            </w:r>
            <w:r>
              <w:rPr>
                <w:rFonts w:ascii="宋体" w:eastAsia="宋体" w:hAnsi="宋体" w:cs="宋体"/>
                <w:kern w:val="0"/>
                <w:sz w:val="18"/>
                <w:szCs w:val="18"/>
                <w:lang w:val="en-US"/>
              </w:rPr>
              <w:t>“</w:t>
            </w:r>
            <w:r>
              <w:rPr>
                <w:rFonts w:ascii="宋体" w:eastAsia="宋体" w:hAnsi="宋体" w:cs="宋体"/>
                <w:kern w:val="0"/>
                <w:sz w:val="18"/>
                <w:szCs w:val="18"/>
              </w:rPr>
              <w:t>中山杯</w:t>
            </w:r>
            <w:r>
              <w:rPr>
                <w:rFonts w:ascii="宋体" w:eastAsia="宋体" w:hAnsi="宋体" w:cs="宋体"/>
                <w:kern w:val="0"/>
                <w:sz w:val="18"/>
                <w:szCs w:val="18"/>
                <w:lang w:val="en-US"/>
              </w:rPr>
              <w:t>”</w:t>
            </w:r>
            <w:r>
              <w:rPr>
                <w:rFonts w:ascii="宋体" w:eastAsia="宋体" w:hAnsi="宋体" w:cs="宋体"/>
                <w:kern w:val="0"/>
                <w:sz w:val="18"/>
                <w:szCs w:val="18"/>
              </w:rPr>
              <w:t>华人华侨文学奖在京揭晓获得主体最佳作品奖。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《一个在首尔》</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w:t>
            </w:r>
            <w:r>
              <w:rPr>
                <w:rFonts w:ascii="宋体" w:eastAsia="宋体" w:hAnsi="宋体" w:cs="宋体"/>
                <w:kern w:val="0"/>
                <w:sz w:val="18"/>
                <w:szCs w:val="18"/>
                <w:lang w:val="en-US"/>
              </w:rPr>
              <w:t>2011</w:t>
            </w:r>
            <w:r>
              <w:rPr>
                <w:rFonts w:ascii="宋体" w:eastAsia="宋体" w:hAnsi="宋体" w:cs="宋体"/>
                <w:kern w:val="0"/>
                <w:sz w:val="18"/>
                <w:szCs w:val="18"/>
              </w:rPr>
              <w:t>年中国动漫最高大奖</w:t>
            </w:r>
            <w:r>
              <w:rPr>
                <w:rFonts w:ascii="宋体" w:eastAsia="宋体" w:hAnsi="宋体" w:cs="宋体"/>
                <w:kern w:val="0"/>
                <w:sz w:val="18"/>
                <w:szCs w:val="18"/>
                <w:lang w:val="en-US"/>
              </w:rPr>
              <w:t>“</w:t>
            </w:r>
            <w:r>
              <w:rPr>
                <w:rFonts w:ascii="宋体" w:eastAsia="宋体" w:hAnsi="宋体" w:cs="宋体"/>
                <w:kern w:val="0"/>
                <w:sz w:val="18"/>
                <w:szCs w:val="18"/>
              </w:rPr>
              <w:t>美猴奖</w:t>
            </w:r>
            <w:r>
              <w:rPr>
                <w:rFonts w:ascii="宋体" w:eastAsia="宋体" w:hAnsi="宋体" w:cs="宋体"/>
                <w:kern w:val="0"/>
                <w:sz w:val="18"/>
                <w:szCs w:val="18"/>
                <w:lang w:val="en-US"/>
              </w:rPr>
              <w:t>”—</w:t>
            </w:r>
            <w:r>
              <w:rPr>
                <w:rFonts w:ascii="宋体" w:eastAsia="宋体" w:hAnsi="宋体" w:cs="宋体"/>
                <w:kern w:val="0"/>
                <w:sz w:val="18"/>
                <w:szCs w:val="18"/>
              </w:rPr>
              <w:t>最佳漫画故事奖。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2010</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《哥斯拉不说话》</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荣获第六届中国国际动漫节</w:t>
            </w:r>
            <w:r>
              <w:rPr>
                <w:rFonts w:ascii="宋体" w:eastAsia="宋体" w:hAnsi="宋体" w:cs="宋体"/>
                <w:kern w:val="0"/>
                <w:sz w:val="18"/>
                <w:szCs w:val="18"/>
                <w:lang w:val="en-US"/>
              </w:rPr>
              <w:t>“</w:t>
            </w:r>
            <w:r>
              <w:rPr>
                <w:rFonts w:ascii="宋体" w:eastAsia="宋体" w:hAnsi="宋体" w:cs="宋体"/>
                <w:kern w:val="0"/>
                <w:sz w:val="18"/>
                <w:szCs w:val="18"/>
              </w:rPr>
              <w:t>美猴奖</w:t>
            </w:r>
            <w:r>
              <w:rPr>
                <w:rFonts w:ascii="宋体" w:eastAsia="宋体" w:hAnsi="宋体" w:cs="宋体"/>
                <w:kern w:val="0"/>
                <w:sz w:val="18"/>
                <w:szCs w:val="18"/>
                <w:lang w:val="en-US"/>
              </w:rPr>
              <w:t>”</w:t>
            </w:r>
            <w:r>
              <w:rPr>
                <w:rFonts w:ascii="宋体" w:eastAsia="宋体" w:hAnsi="宋体" w:cs="宋体"/>
                <w:kern w:val="0"/>
                <w:sz w:val="18"/>
                <w:szCs w:val="18"/>
              </w:rPr>
              <w:t>最佳中国漫画作品奖。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2011</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《风语》</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2011</w:t>
            </w:r>
            <w:r>
              <w:rPr>
                <w:rFonts w:ascii="宋体" w:eastAsia="宋体" w:hAnsi="宋体" w:cs="宋体"/>
                <w:kern w:val="0"/>
                <w:sz w:val="18"/>
                <w:szCs w:val="18"/>
              </w:rPr>
              <w:t>年度全行业优秀畅销品种</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2011</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《沙捞越战事》</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华人华侨文学奖主体最佳作品奖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2011</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《蛙》</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第八届茅盾文学奖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2011</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《建党伟业》</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国家图书奖</w:t>
            </w:r>
            <w:r>
              <w:rPr>
                <w:rFonts w:ascii="宋体" w:eastAsia="宋体" w:hAnsi="宋体" w:cs="宋体"/>
                <w:kern w:val="0"/>
                <w:sz w:val="18"/>
                <w:szCs w:val="18"/>
                <w:lang w:val="en-US"/>
              </w:rPr>
              <w:t>“</w:t>
            </w:r>
            <w:r>
              <w:rPr>
                <w:rFonts w:ascii="宋体" w:eastAsia="宋体" w:hAnsi="宋体" w:cs="宋体"/>
                <w:kern w:val="0"/>
                <w:sz w:val="18"/>
                <w:szCs w:val="18"/>
              </w:rPr>
              <w:t>五个一工程</w:t>
            </w:r>
            <w:r>
              <w:rPr>
                <w:rFonts w:ascii="宋体" w:eastAsia="宋体" w:hAnsi="宋体" w:cs="宋体"/>
                <w:kern w:val="0"/>
                <w:sz w:val="18"/>
                <w:szCs w:val="18"/>
                <w:lang w:val="en-US"/>
              </w:rPr>
              <w:t>”</w:t>
            </w:r>
            <w:r>
              <w:rPr>
                <w:rFonts w:ascii="宋体" w:eastAsia="宋体" w:hAnsi="宋体" w:cs="宋体"/>
                <w:kern w:val="0"/>
                <w:sz w:val="18"/>
                <w:szCs w:val="18"/>
              </w:rPr>
              <w:t>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2011</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《建党伟业》</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 xml:space="preserve">新闻出版署 </w:t>
            </w:r>
            <w:r>
              <w:rPr>
                <w:rFonts w:ascii="宋体" w:eastAsia="宋体" w:hAnsi="宋体" w:cs="宋体"/>
                <w:kern w:val="0"/>
                <w:sz w:val="18"/>
                <w:szCs w:val="18"/>
                <w:lang w:val="en-US"/>
              </w:rPr>
              <w:t>“</w:t>
            </w:r>
            <w:r>
              <w:rPr>
                <w:rFonts w:ascii="宋体" w:eastAsia="宋体" w:hAnsi="宋体" w:cs="宋体"/>
                <w:kern w:val="0"/>
                <w:sz w:val="18"/>
                <w:szCs w:val="18"/>
              </w:rPr>
              <w:t>建党</w:t>
            </w:r>
            <w:r>
              <w:rPr>
                <w:rFonts w:ascii="宋体" w:eastAsia="宋体" w:hAnsi="宋体" w:cs="宋体"/>
                <w:kern w:val="0"/>
                <w:sz w:val="18"/>
                <w:szCs w:val="18"/>
                <w:lang w:val="en-US"/>
              </w:rPr>
              <w:t>90</w:t>
            </w:r>
            <w:r>
              <w:rPr>
                <w:rFonts w:ascii="宋体" w:eastAsia="宋体" w:hAnsi="宋体" w:cs="宋体"/>
                <w:kern w:val="0"/>
                <w:sz w:val="18"/>
                <w:szCs w:val="18"/>
              </w:rPr>
              <w:t>周年</w:t>
            </w:r>
            <w:r>
              <w:rPr>
                <w:rFonts w:ascii="宋体" w:eastAsia="宋体" w:hAnsi="宋体" w:cs="宋体"/>
                <w:kern w:val="0"/>
                <w:sz w:val="18"/>
                <w:szCs w:val="18"/>
                <w:lang w:val="en-US"/>
              </w:rPr>
              <w:t>”</w:t>
            </w:r>
            <w:r>
              <w:rPr>
                <w:rFonts w:ascii="宋体" w:eastAsia="宋体" w:hAnsi="宋体" w:cs="宋体"/>
                <w:kern w:val="0"/>
                <w:sz w:val="18"/>
                <w:szCs w:val="18"/>
              </w:rPr>
              <w:t>重点推荐图书</w:t>
            </w:r>
            <w:r>
              <w:rPr>
                <w:rFonts w:ascii="宋体" w:eastAsia="宋体" w:hAnsi="宋体" w:cs="宋体"/>
                <w:kern w:val="0"/>
                <w:sz w:val="18"/>
                <w:szCs w:val="18"/>
                <w:lang w:val="en-US"/>
              </w:rPr>
              <w:t> </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2012</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《风语》</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新闻出版总署第三届</w:t>
            </w:r>
            <w:r>
              <w:rPr>
                <w:rFonts w:ascii="宋体" w:eastAsia="宋体" w:hAnsi="宋体" w:cs="宋体"/>
                <w:kern w:val="0"/>
                <w:sz w:val="18"/>
                <w:szCs w:val="18"/>
                <w:lang w:val="en-US"/>
              </w:rPr>
              <w:t>“</w:t>
            </w:r>
            <w:r>
              <w:rPr>
                <w:rFonts w:ascii="宋体" w:eastAsia="宋体" w:hAnsi="宋体" w:cs="宋体"/>
                <w:kern w:val="0"/>
                <w:sz w:val="18"/>
                <w:szCs w:val="18"/>
              </w:rPr>
              <w:t>三个一百</w:t>
            </w:r>
            <w:r>
              <w:rPr>
                <w:rFonts w:ascii="宋体" w:eastAsia="宋体" w:hAnsi="宋体" w:cs="宋体"/>
                <w:kern w:val="0"/>
                <w:sz w:val="18"/>
                <w:szCs w:val="18"/>
                <w:lang w:val="en-US"/>
              </w:rPr>
              <w:t>”</w:t>
            </w:r>
            <w:r>
              <w:rPr>
                <w:rFonts w:ascii="宋体" w:eastAsia="宋体" w:hAnsi="宋体" w:cs="宋体"/>
                <w:kern w:val="0"/>
                <w:sz w:val="18"/>
                <w:szCs w:val="18"/>
              </w:rPr>
              <w:t>原创工程</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2012</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莫言</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获诺贝尔文学奖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2013</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颜歌</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华语传媒新人奖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2013</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阎连科</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花踪世界华文文学奖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2013</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《无尽藏》</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中国作家排行榜</w:t>
            </w:r>
            <w:r>
              <w:rPr>
                <w:rFonts w:ascii="宋体" w:eastAsia="宋体" w:hAnsi="宋体" w:cs="宋体"/>
                <w:kern w:val="0"/>
                <w:sz w:val="18"/>
                <w:szCs w:val="18"/>
                <w:lang w:val="en-US"/>
              </w:rPr>
              <w:t>2013</w:t>
            </w:r>
            <w:r>
              <w:rPr>
                <w:rFonts w:ascii="宋体" w:eastAsia="宋体" w:hAnsi="宋体" w:cs="宋体"/>
                <w:kern w:val="0"/>
                <w:sz w:val="18"/>
                <w:szCs w:val="18"/>
              </w:rPr>
              <w:t>年度长篇小说第三名</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2013</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《猹》</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w:t>
            </w:r>
            <w:r>
              <w:rPr>
                <w:rFonts w:ascii="宋体" w:eastAsia="宋体" w:hAnsi="宋体" w:cs="宋体"/>
                <w:color w:val="333333"/>
                <w:kern w:val="0"/>
                <w:sz w:val="18"/>
                <w:szCs w:val="18"/>
                <w:u w:color="333333"/>
              </w:rPr>
              <w:t>人民文学年度中篇小说奖</w:t>
            </w:r>
          </w:p>
        </w:tc>
      </w:tr>
      <w:tr w:rsidR="003A5CE8">
        <w:trPr>
          <w:trHeight w:val="58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2013</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《米罗山营地》</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入选国家新闻出版广电总局组织</w:t>
            </w:r>
            <w:r>
              <w:rPr>
                <w:rFonts w:ascii="宋体" w:eastAsia="宋体" w:hAnsi="宋体" w:cs="宋体"/>
                <w:kern w:val="0"/>
                <w:sz w:val="18"/>
                <w:szCs w:val="18"/>
                <w:lang w:val="en-US"/>
              </w:rPr>
              <w:t>13</w:t>
            </w:r>
            <w:r>
              <w:rPr>
                <w:rFonts w:ascii="宋体" w:eastAsia="宋体" w:hAnsi="宋体" w:cs="宋体"/>
                <w:kern w:val="0"/>
                <w:sz w:val="18"/>
                <w:szCs w:val="18"/>
              </w:rPr>
              <w:t>家中央媒体和门户网站开展的</w:t>
            </w:r>
            <w:r>
              <w:rPr>
                <w:kern w:val="0"/>
                <w:sz w:val="18"/>
                <w:szCs w:val="18"/>
                <w:lang w:val="en-US"/>
              </w:rPr>
              <w:t>2013</w:t>
            </w:r>
            <w:r>
              <w:rPr>
                <w:rFonts w:ascii="宋体" w:eastAsia="宋体" w:hAnsi="宋体" w:cs="宋体"/>
                <w:kern w:val="0"/>
                <w:sz w:val="18"/>
                <w:szCs w:val="18"/>
              </w:rPr>
              <w:t>年度</w:t>
            </w:r>
            <w:r>
              <w:rPr>
                <w:rFonts w:ascii="宋体" w:eastAsia="宋体" w:hAnsi="宋体" w:cs="宋体"/>
                <w:kern w:val="0"/>
                <w:sz w:val="18"/>
                <w:szCs w:val="18"/>
                <w:lang w:val="en-US"/>
              </w:rPr>
              <w:t>“</w:t>
            </w:r>
            <w:r>
              <w:rPr>
                <w:rFonts w:ascii="宋体" w:eastAsia="宋体" w:hAnsi="宋体" w:cs="宋体"/>
                <w:kern w:val="0"/>
                <w:sz w:val="18"/>
                <w:szCs w:val="18"/>
              </w:rPr>
              <w:t>大众喜爱的</w:t>
            </w:r>
            <w:r>
              <w:rPr>
                <w:kern w:val="0"/>
                <w:sz w:val="18"/>
                <w:szCs w:val="18"/>
                <w:lang w:val="en-US"/>
              </w:rPr>
              <w:t>50</w:t>
            </w:r>
            <w:r>
              <w:rPr>
                <w:rFonts w:ascii="宋体" w:eastAsia="宋体" w:hAnsi="宋体" w:cs="宋体"/>
                <w:kern w:val="0"/>
                <w:sz w:val="18"/>
                <w:szCs w:val="18"/>
              </w:rPr>
              <w:t>种图书</w:t>
            </w:r>
            <w:r>
              <w:rPr>
                <w:rFonts w:ascii="宋体" w:eastAsia="宋体" w:hAnsi="宋体" w:cs="宋体"/>
                <w:kern w:val="0"/>
                <w:sz w:val="18"/>
                <w:szCs w:val="18"/>
                <w:lang w:val="en-US"/>
              </w:rPr>
              <w:t>”</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2013</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江南</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中国作家富豪榜冠军</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2014</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《解密》</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入选企鹅文学经典文库</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2014</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《无尽藏》</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荣获《中国作家》第三届剑门关文学奖长篇小说奖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2014</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阎连科</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w:t>
            </w:r>
            <w:r>
              <w:rPr>
                <w:rFonts w:ascii="宋体" w:eastAsia="宋体" w:hAnsi="宋体" w:cs="宋体"/>
                <w:kern w:val="0"/>
                <w:sz w:val="18"/>
                <w:szCs w:val="18"/>
                <w:lang w:val="en-US"/>
              </w:rPr>
              <w:t>2014</w:t>
            </w:r>
            <w:r>
              <w:rPr>
                <w:rFonts w:ascii="宋体" w:eastAsia="宋体" w:hAnsi="宋体" w:cs="宋体"/>
                <w:kern w:val="0"/>
                <w:sz w:val="18"/>
                <w:szCs w:val="18"/>
              </w:rPr>
              <w:t>年卡夫卡文学奖</w:t>
            </w:r>
          </w:p>
        </w:tc>
      </w:tr>
      <w:tr w:rsidR="003A5CE8">
        <w:trPr>
          <w:trHeight w:val="32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lang w:val="en-US"/>
              </w:rPr>
              <w:t>2014</w:t>
            </w:r>
          </w:p>
        </w:tc>
        <w:tc>
          <w:tcPr>
            <w:tcW w:w="20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劳马</w:t>
            </w:r>
          </w:p>
        </w:tc>
        <w:tc>
          <w:tcPr>
            <w:tcW w:w="65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A5"/>
            </w:pPr>
            <w:r>
              <w:rPr>
                <w:rFonts w:ascii="宋体" w:eastAsia="宋体" w:hAnsi="宋体" w:cs="宋体"/>
                <w:kern w:val="0"/>
                <w:sz w:val="18"/>
                <w:szCs w:val="18"/>
              </w:rPr>
              <w:t>荣获</w:t>
            </w:r>
            <w:r>
              <w:rPr>
                <w:rFonts w:ascii="宋体" w:eastAsia="宋体" w:hAnsi="宋体" w:cs="宋体"/>
                <w:kern w:val="0"/>
                <w:sz w:val="18"/>
                <w:szCs w:val="18"/>
                <w:lang w:val="en-US"/>
              </w:rPr>
              <w:t>2014</w:t>
            </w:r>
            <w:r>
              <w:rPr>
                <w:rFonts w:ascii="宋体" w:eastAsia="宋体" w:hAnsi="宋体" w:cs="宋体"/>
                <w:kern w:val="0"/>
                <w:sz w:val="18"/>
                <w:szCs w:val="18"/>
              </w:rPr>
              <w:t>年度蒙古国最高文学奖</w:t>
            </w:r>
          </w:p>
        </w:tc>
      </w:tr>
    </w:tbl>
    <w:p w:rsidR="003A5CE8" w:rsidRDefault="003A5CE8">
      <w:pPr>
        <w:pStyle w:val="A5"/>
        <w:tabs>
          <w:tab w:val="left" w:pos="7800"/>
        </w:tabs>
        <w:ind w:right="48"/>
        <w:rPr>
          <w:rFonts w:ascii="宋体" w:eastAsia="宋体" w:hAnsi="宋体" w:cs="宋体"/>
          <w:sz w:val="28"/>
          <w:szCs w:val="28"/>
        </w:rPr>
      </w:pPr>
    </w:p>
    <w:p w:rsidR="003A5CE8" w:rsidRDefault="003A5CE8">
      <w:pPr>
        <w:pStyle w:val="A5"/>
        <w:tabs>
          <w:tab w:val="left" w:pos="7800"/>
        </w:tabs>
        <w:ind w:right="48"/>
        <w:rPr>
          <w:rFonts w:ascii="宋体" w:eastAsia="宋体" w:hAnsi="宋体" w:cs="宋体"/>
          <w:sz w:val="28"/>
          <w:szCs w:val="28"/>
        </w:rPr>
      </w:pPr>
    </w:p>
    <w:p w:rsidR="003A5CE8" w:rsidRDefault="003A5CE8">
      <w:pPr>
        <w:pStyle w:val="A5"/>
        <w:tabs>
          <w:tab w:val="left" w:pos="7800"/>
        </w:tabs>
        <w:ind w:right="48"/>
        <w:rPr>
          <w:rFonts w:ascii="宋体" w:eastAsia="宋体" w:hAnsi="宋体" w:cs="宋体"/>
          <w:sz w:val="28"/>
          <w:szCs w:val="28"/>
        </w:rPr>
      </w:pPr>
    </w:p>
    <w:p w:rsidR="003A5CE8" w:rsidRDefault="003A5CE8">
      <w:pPr>
        <w:pStyle w:val="A5"/>
        <w:tabs>
          <w:tab w:val="left" w:pos="7800"/>
        </w:tabs>
        <w:ind w:right="48"/>
        <w:rPr>
          <w:rFonts w:ascii="宋体" w:eastAsia="宋体" w:hAnsi="宋体" w:cs="宋体"/>
          <w:sz w:val="28"/>
          <w:szCs w:val="28"/>
        </w:rPr>
      </w:pPr>
    </w:p>
    <w:p w:rsidR="003A5CE8" w:rsidRDefault="003A5CE8">
      <w:pPr>
        <w:pStyle w:val="A5"/>
        <w:tabs>
          <w:tab w:val="left" w:pos="7800"/>
        </w:tabs>
        <w:ind w:right="48"/>
        <w:rPr>
          <w:rFonts w:ascii="宋体" w:eastAsia="宋体" w:hAnsi="宋体" w:cs="宋体"/>
          <w:sz w:val="28"/>
          <w:szCs w:val="28"/>
        </w:rPr>
      </w:pPr>
    </w:p>
    <w:p w:rsidR="003A5CE8" w:rsidRDefault="003A5CE8">
      <w:pPr>
        <w:pStyle w:val="A5"/>
        <w:tabs>
          <w:tab w:val="left" w:pos="7800"/>
        </w:tabs>
        <w:ind w:right="48"/>
        <w:rPr>
          <w:rFonts w:ascii="宋体" w:eastAsia="宋体" w:hAnsi="宋体" w:cs="宋体"/>
          <w:sz w:val="28"/>
          <w:szCs w:val="28"/>
        </w:rPr>
      </w:pPr>
    </w:p>
    <w:p w:rsidR="003A5CE8" w:rsidRDefault="003A5CE8">
      <w:pPr>
        <w:pStyle w:val="A5"/>
        <w:rPr>
          <w:rFonts w:ascii="宋体" w:eastAsia="宋体" w:hAnsi="宋体" w:cs="宋体"/>
        </w:rPr>
      </w:pPr>
    </w:p>
    <w:p w:rsidR="003A5CE8" w:rsidRDefault="007038D7">
      <w:pPr>
        <w:pStyle w:val="A5"/>
        <w:rPr>
          <w:rFonts w:ascii="宋体" w:eastAsia="宋体" w:hAnsi="宋体" w:cs="宋体"/>
        </w:rPr>
      </w:pPr>
      <w:r>
        <w:rPr>
          <w:rFonts w:ascii="宋体" w:eastAsia="宋体" w:hAnsi="宋体" w:cs="宋体"/>
          <w:lang w:val="en-US"/>
        </w:rPr>
        <w:t>&lt;</w:t>
      </w:r>
      <w:r>
        <w:rPr>
          <w:rFonts w:ascii="宋体" w:eastAsia="宋体" w:hAnsi="宋体" w:cs="宋体"/>
        </w:rPr>
        <w:t>三</w:t>
      </w:r>
      <w:r>
        <w:rPr>
          <w:rFonts w:ascii="宋体" w:eastAsia="宋体" w:hAnsi="宋体" w:cs="宋体"/>
          <w:lang w:val="en-US"/>
        </w:rPr>
        <w:t xml:space="preserve">&gt; </w:t>
      </w:r>
    </w:p>
    <w:p w:rsidR="003A5CE8" w:rsidRDefault="007038D7">
      <w:pPr>
        <w:pStyle w:val="A5"/>
        <w:rPr>
          <w:rFonts w:ascii="宋体" w:eastAsia="宋体" w:hAnsi="宋体" w:cs="宋体"/>
        </w:rPr>
      </w:pPr>
      <w:r>
        <w:rPr>
          <w:rFonts w:ascii="宋体" w:eastAsia="宋体" w:hAnsi="宋体" w:cs="宋体"/>
        </w:rPr>
        <w:t>企业信息公开（并购前）</w:t>
      </w:r>
    </w:p>
    <w:p w:rsidR="003A5CE8" w:rsidRDefault="003A5CE8">
      <w:pPr>
        <w:pStyle w:val="A5"/>
        <w:rPr>
          <w:rFonts w:ascii="宋体" w:eastAsia="宋体" w:hAnsi="宋体" w:cs="宋体"/>
        </w:rPr>
      </w:pPr>
    </w:p>
    <w:p w:rsidR="003A5CE8" w:rsidRDefault="007038D7">
      <w:pPr>
        <w:pStyle w:val="A5"/>
        <w:rPr>
          <w:rFonts w:ascii="宋体" w:eastAsia="宋体" w:hAnsi="宋体" w:cs="宋体"/>
        </w:rPr>
      </w:pPr>
      <w:r>
        <w:rPr>
          <w:rFonts w:ascii="宋体" w:eastAsia="宋体" w:hAnsi="宋体" w:cs="宋体"/>
        </w:rPr>
        <w:t>投资人及注册资本信息变更部分：</w:t>
      </w:r>
    </w:p>
    <w:p w:rsidR="003A5CE8" w:rsidRDefault="003A5CE8">
      <w:pPr>
        <w:pStyle w:val="A5"/>
        <w:rPr>
          <w:rFonts w:ascii="宋体" w:eastAsia="宋体" w:hAnsi="宋体" w:cs="宋体"/>
        </w:rPr>
      </w:pPr>
    </w:p>
    <w:tbl>
      <w:tblPr>
        <w:tblStyle w:val="TableNormal"/>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20"/>
        <w:gridCol w:w="2620"/>
        <w:gridCol w:w="4300"/>
      </w:tblGrid>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年月</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事件类型</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详细</w:t>
            </w:r>
          </w:p>
        </w:tc>
      </w:tr>
      <w:tr w:rsidR="003A5CE8">
        <w:trPr>
          <w:trHeight w:val="70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2011</w:t>
            </w:r>
            <w:r>
              <w:rPr>
                <w:rFonts w:ascii="宋体" w:eastAsia="宋体" w:hAnsi="宋体" w:cs="宋体"/>
                <w:kern w:val="0"/>
                <w:sz w:val="22"/>
                <w:szCs w:val="22"/>
              </w:rPr>
              <w:t>年</w:t>
            </w:r>
            <w:r>
              <w:rPr>
                <w:rFonts w:ascii="宋体" w:eastAsia="宋体" w:hAnsi="宋体" w:cs="宋体"/>
                <w:kern w:val="0"/>
                <w:sz w:val="22"/>
                <w:szCs w:val="22"/>
                <w:lang w:val="en-US"/>
              </w:rPr>
              <w:t>1</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投资人信息变更：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陈黎明</w:t>
            </w:r>
            <w:r>
              <w:rPr>
                <w:rFonts w:ascii="宋体" w:eastAsia="宋体" w:hAnsi="宋体" w:cs="宋体"/>
                <w:kern w:val="0"/>
                <w:sz w:val="22"/>
                <w:szCs w:val="22"/>
                <w:lang w:val="en-US"/>
              </w:rPr>
              <w:t>80</w:t>
            </w:r>
            <w:r>
              <w:rPr>
                <w:rFonts w:ascii="宋体" w:eastAsia="宋体" w:hAnsi="宋体" w:cs="宋体"/>
                <w:kern w:val="0"/>
                <w:sz w:val="22"/>
                <w:szCs w:val="22"/>
              </w:rPr>
              <w:t>万</w:t>
            </w:r>
            <w:r>
              <w:rPr>
                <w:rFonts w:ascii="宋体" w:eastAsia="宋体" w:hAnsi="宋体" w:cs="宋体"/>
                <w:kern w:val="0"/>
                <w:sz w:val="22"/>
                <w:szCs w:val="22"/>
                <w:lang w:val="en-US"/>
              </w:rPr>
              <w:t>→120</w:t>
            </w:r>
            <w:r>
              <w:rPr>
                <w:rFonts w:ascii="宋体" w:eastAsia="宋体" w:hAnsi="宋体" w:cs="宋体"/>
                <w:kern w:val="0"/>
                <w:sz w:val="22"/>
                <w:szCs w:val="22"/>
              </w:rPr>
              <w:t>万；吴梅林</w:t>
            </w:r>
            <w:r>
              <w:rPr>
                <w:rFonts w:ascii="宋体" w:eastAsia="宋体" w:hAnsi="宋体" w:cs="宋体"/>
                <w:kern w:val="0"/>
                <w:sz w:val="22"/>
                <w:szCs w:val="22"/>
                <w:lang w:val="en-US"/>
              </w:rPr>
              <w:t>120</w:t>
            </w:r>
            <w:r>
              <w:rPr>
                <w:rFonts w:ascii="宋体" w:eastAsia="宋体" w:hAnsi="宋体" w:cs="宋体"/>
                <w:kern w:val="0"/>
                <w:sz w:val="22"/>
                <w:szCs w:val="22"/>
              </w:rPr>
              <w:t>万</w:t>
            </w:r>
            <w:r>
              <w:rPr>
                <w:rFonts w:ascii="宋体" w:eastAsia="宋体" w:hAnsi="宋体" w:cs="宋体"/>
                <w:kern w:val="0"/>
                <w:sz w:val="22"/>
                <w:szCs w:val="22"/>
                <w:lang w:val="en-US"/>
              </w:rPr>
              <w:t>→80</w:t>
            </w:r>
            <w:r>
              <w:rPr>
                <w:rFonts w:ascii="宋体" w:eastAsia="宋体" w:hAnsi="宋体" w:cs="宋体"/>
                <w:kern w:val="0"/>
                <w:sz w:val="22"/>
                <w:szCs w:val="22"/>
              </w:rPr>
              <w:t>万</w:t>
            </w:r>
          </w:p>
        </w:tc>
      </w:tr>
      <w:tr w:rsidR="003A5CE8">
        <w:trPr>
          <w:trHeight w:val="102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2011</w:t>
            </w:r>
            <w:r>
              <w:rPr>
                <w:rFonts w:ascii="宋体" w:eastAsia="宋体" w:hAnsi="宋体" w:cs="宋体"/>
                <w:kern w:val="0"/>
                <w:sz w:val="22"/>
                <w:szCs w:val="22"/>
              </w:rPr>
              <w:t>年</w:t>
            </w:r>
            <w:r>
              <w:rPr>
                <w:rFonts w:ascii="宋体" w:eastAsia="宋体" w:hAnsi="宋体" w:cs="宋体"/>
                <w:kern w:val="0"/>
                <w:sz w:val="22"/>
                <w:szCs w:val="22"/>
                <w:lang w:val="en-US"/>
              </w:rPr>
              <w:t>8</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投资人信息变更：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沈黎明出资</w:t>
            </w:r>
            <w:r>
              <w:rPr>
                <w:rFonts w:ascii="宋体" w:eastAsia="宋体" w:hAnsi="宋体" w:cs="宋体"/>
                <w:kern w:val="0"/>
                <w:sz w:val="22"/>
                <w:szCs w:val="22"/>
                <w:lang w:val="en-US"/>
              </w:rPr>
              <w:t>37.5</w:t>
            </w:r>
            <w:r>
              <w:rPr>
                <w:rFonts w:ascii="宋体" w:eastAsia="宋体" w:hAnsi="宋体" w:cs="宋体"/>
                <w:kern w:val="0"/>
                <w:sz w:val="22"/>
                <w:szCs w:val="22"/>
              </w:rPr>
              <w:t>万；北京冷杉投资中心（有限合伙）出资</w:t>
            </w:r>
            <w:r>
              <w:rPr>
                <w:rFonts w:ascii="宋体" w:eastAsia="宋体" w:hAnsi="宋体" w:cs="宋体"/>
                <w:kern w:val="0"/>
                <w:sz w:val="22"/>
                <w:szCs w:val="22"/>
                <w:lang w:val="en-US"/>
              </w:rPr>
              <w:t>25</w:t>
            </w:r>
            <w:r>
              <w:rPr>
                <w:rFonts w:ascii="宋体" w:eastAsia="宋体" w:hAnsi="宋体" w:cs="宋体"/>
                <w:kern w:val="0"/>
                <w:sz w:val="22"/>
                <w:szCs w:val="22"/>
              </w:rPr>
              <w:t>万；注册资本总额变为</w:t>
            </w:r>
            <w:r>
              <w:rPr>
                <w:rFonts w:ascii="宋体" w:eastAsia="宋体" w:hAnsi="宋体" w:cs="宋体"/>
                <w:kern w:val="0"/>
                <w:sz w:val="22"/>
                <w:szCs w:val="22"/>
                <w:lang w:val="en-US"/>
              </w:rPr>
              <w:t>262.5</w:t>
            </w:r>
            <w:r>
              <w:rPr>
                <w:rFonts w:ascii="宋体" w:eastAsia="宋体" w:hAnsi="宋体" w:cs="宋体"/>
                <w:kern w:val="0"/>
                <w:sz w:val="22"/>
                <w:szCs w:val="22"/>
              </w:rPr>
              <w:t>万</w:t>
            </w:r>
          </w:p>
        </w:tc>
      </w:tr>
      <w:tr w:rsidR="003A5CE8">
        <w:trPr>
          <w:trHeight w:val="102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4</w:t>
            </w:r>
            <w:r>
              <w:rPr>
                <w:rFonts w:ascii="宋体" w:eastAsia="宋体" w:hAnsi="宋体" w:cs="宋体"/>
                <w:kern w:val="0"/>
                <w:sz w:val="22"/>
                <w:szCs w:val="22"/>
              </w:rPr>
              <w:t>月</w:t>
            </w:r>
            <w:r>
              <w:rPr>
                <w:rFonts w:ascii="宋体" w:eastAsia="宋体" w:hAnsi="宋体" w:cs="宋体"/>
                <w:kern w:val="0"/>
                <w:sz w:val="22"/>
                <w:szCs w:val="22"/>
                <w:lang w:val="en-US"/>
              </w:rPr>
              <w:t>10</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投资人信息变更：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陈黎明</w:t>
            </w:r>
            <w:r>
              <w:rPr>
                <w:rFonts w:ascii="宋体" w:eastAsia="宋体" w:hAnsi="宋体" w:cs="宋体"/>
                <w:kern w:val="0"/>
                <w:sz w:val="22"/>
                <w:szCs w:val="22"/>
                <w:lang w:val="en-US"/>
              </w:rPr>
              <w:t>→179.88</w:t>
            </w:r>
            <w:r>
              <w:rPr>
                <w:rFonts w:ascii="宋体" w:eastAsia="宋体" w:hAnsi="宋体" w:cs="宋体"/>
                <w:kern w:val="0"/>
                <w:sz w:val="22"/>
                <w:szCs w:val="22"/>
              </w:rPr>
              <w:t>万；章剑</w:t>
            </w:r>
            <w:r>
              <w:rPr>
                <w:rFonts w:ascii="宋体" w:eastAsia="宋体" w:hAnsi="宋体" w:cs="宋体"/>
                <w:kern w:val="0"/>
                <w:sz w:val="22"/>
                <w:szCs w:val="22"/>
                <w:lang w:val="en-US"/>
              </w:rPr>
              <w:t>0→2.63</w:t>
            </w:r>
            <w:r>
              <w:rPr>
                <w:rFonts w:ascii="宋体" w:eastAsia="宋体" w:hAnsi="宋体" w:cs="宋体"/>
                <w:kern w:val="0"/>
                <w:sz w:val="22"/>
                <w:szCs w:val="22"/>
              </w:rPr>
              <w:t>万；沈黎明</w:t>
            </w:r>
            <w:r>
              <w:rPr>
                <w:rFonts w:ascii="宋体" w:eastAsia="宋体" w:hAnsi="宋体" w:cs="宋体"/>
                <w:kern w:val="0"/>
                <w:sz w:val="22"/>
                <w:szCs w:val="22"/>
                <w:lang w:val="en-US"/>
              </w:rPr>
              <w:t>→0</w:t>
            </w:r>
            <w:r>
              <w:rPr>
                <w:rFonts w:ascii="宋体" w:eastAsia="宋体" w:hAnsi="宋体" w:cs="宋体"/>
                <w:kern w:val="0"/>
                <w:sz w:val="22"/>
                <w:szCs w:val="22"/>
              </w:rPr>
              <w:t>；冷杉公司</w:t>
            </w:r>
            <w:r>
              <w:rPr>
                <w:rFonts w:ascii="宋体" w:eastAsia="宋体" w:hAnsi="宋体" w:cs="宋体"/>
                <w:kern w:val="0"/>
                <w:sz w:val="22"/>
                <w:szCs w:val="22"/>
                <w:lang w:val="en-US"/>
              </w:rPr>
              <w:t>→0</w:t>
            </w:r>
            <w:r>
              <w:rPr>
                <w:rFonts w:ascii="宋体" w:eastAsia="宋体" w:hAnsi="宋体" w:cs="宋体"/>
                <w:kern w:val="0"/>
                <w:sz w:val="22"/>
                <w:szCs w:val="22"/>
              </w:rPr>
              <w:t>；吴梅林</w:t>
            </w:r>
            <w:r>
              <w:rPr>
                <w:rFonts w:ascii="宋体" w:eastAsia="宋体" w:hAnsi="宋体" w:cs="宋体"/>
                <w:kern w:val="0"/>
                <w:sz w:val="22"/>
                <w:szCs w:val="22"/>
                <w:lang w:val="en-US"/>
              </w:rPr>
              <w:t>→80</w:t>
            </w:r>
            <w:r>
              <w:rPr>
                <w:rFonts w:ascii="宋体" w:eastAsia="宋体" w:hAnsi="宋体" w:cs="宋体"/>
                <w:kern w:val="0"/>
                <w:sz w:val="22"/>
                <w:szCs w:val="22"/>
              </w:rPr>
              <w:t>万（不变）</w:t>
            </w:r>
          </w:p>
        </w:tc>
      </w:tr>
      <w:tr w:rsidR="003A5CE8">
        <w:trPr>
          <w:trHeight w:val="451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8</w:t>
            </w:r>
            <w:r>
              <w:rPr>
                <w:rFonts w:ascii="宋体" w:eastAsia="宋体" w:hAnsi="宋体" w:cs="宋体"/>
                <w:kern w:val="0"/>
                <w:sz w:val="22"/>
                <w:szCs w:val="22"/>
              </w:rPr>
              <w:t>月</w:t>
            </w:r>
            <w:r>
              <w:rPr>
                <w:rFonts w:ascii="宋体" w:eastAsia="宋体" w:hAnsi="宋体" w:cs="宋体"/>
                <w:kern w:val="0"/>
                <w:sz w:val="22"/>
                <w:szCs w:val="22"/>
                <w:lang w:val="en-US"/>
              </w:rPr>
              <w:t>14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rPr>
              <w:t>投资人信息变更：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rPr>
                <w:kern w:val="0"/>
                <w:sz w:val="20"/>
                <w:szCs w:val="20"/>
              </w:rPr>
            </w:pPr>
            <w:r>
              <w:rPr>
                <w:rFonts w:ascii="宋体" w:eastAsia="宋体" w:hAnsi="宋体" w:cs="宋体"/>
                <w:kern w:val="0"/>
                <w:sz w:val="22"/>
                <w:szCs w:val="22"/>
              </w:rPr>
              <w:t>陈黎明</w:t>
            </w:r>
            <w:r>
              <w:rPr>
                <w:rFonts w:ascii="宋体" w:eastAsia="宋体" w:hAnsi="宋体" w:cs="宋体"/>
                <w:kern w:val="0"/>
                <w:sz w:val="22"/>
                <w:szCs w:val="22"/>
                <w:lang w:val="en-US"/>
              </w:rPr>
              <w:t>:179.88</w:t>
            </w:r>
            <w:r>
              <w:rPr>
                <w:rFonts w:ascii="宋体" w:eastAsia="宋体" w:hAnsi="宋体" w:cs="宋体"/>
                <w:kern w:val="0"/>
                <w:sz w:val="22"/>
                <w:szCs w:val="22"/>
              </w:rPr>
              <w:t>万</w:t>
            </w:r>
            <w:r>
              <w:rPr>
                <w:rFonts w:ascii="宋体" w:eastAsia="宋体" w:hAnsi="宋体" w:cs="宋体"/>
                <w:kern w:val="0"/>
                <w:sz w:val="22"/>
                <w:szCs w:val="22"/>
                <w:lang w:val="en-US"/>
              </w:rPr>
              <w:t>→139.02</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吴梅林：</w:t>
            </w:r>
            <w:r>
              <w:rPr>
                <w:rFonts w:ascii="宋体" w:eastAsia="宋体" w:hAnsi="宋体" w:cs="宋体"/>
                <w:kern w:val="0"/>
                <w:sz w:val="22"/>
                <w:szCs w:val="22"/>
                <w:lang w:val="en-US"/>
              </w:rPr>
              <w:t>80</w:t>
            </w:r>
            <w:r>
              <w:rPr>
                <w:rFonts w:ascii="宋体" w:eastAsia="宋体" w:hAnsi="宋体" w:cs="宋体"/>
                <w:kern w:val="0"/>
                <w:sz w:val="22"/>
                <w:szCs w:val="22"/>
              </w:rPr>
              <w:t>万</w:t>
            </w:r>
            <w:r>
              <w:rPr>
                <w:rFonts w:ascii="宋体" w:eastAsia="宋体" w:hAnsi="宋体" w:cs="宋体"/>
                <w:kern w:val="0"/>
                <w:sz w:val="22"/>
                <w:szCs w:val="22"/>
                <w:lang w:val="en-US"/>
              </w:rPr>
              <w:t>→74.75</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钱淼根：</w:t>
            </w:r>
            <w:r>
              <w:rPr>
                <w:rFonts w:ascii="宋体" w:eastAsia="宋体" w:hAnsi="宋体" w:cs="宋体"/>
                <w:kern w:val="0"/>
                <w:sz w:val="22"/>
                <w:szCs w:val="22"/>
                <w:lang w:val="en-US"/>
              </w:rPr>
              <w:t>0→11.63</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杭州文广创业投资有限公司：</w:t>
            </w:r>
            <w:r>
              <w:rPr>
                <w:rFonts w:ascii="宋体" w:eastAsia="宋体" w:hAnsi="宋体" w:cs="宋体"/>
                <w:kern w:val="0"/>
                <w:sz w:val="22"/>
                <w:szCs w:val="22"/>
                <w:lang w:val="en-US"/>
              </w:rPr>
              <w:t>0→9.44</w:t>
            </w:r>
            <w:r>
              <w:rPr>
                <w:rFonts w:ascii="宋体" w:eastAsia="宋体" w:hAnsi="宋体" w:cs="宋体"/>
                <w:kern w:val="0"/>
                <w:sz w:val="22"/>
                <w:szCs w:val="22"/>
              </w:rPr>
              <w:t>万</w:t>
            </w:r>
            <w:r>
              <w:rPr>
                <w:kern w:val="0"/>
                <w:sz w:val="20"/>
                <w:szCs w:val="20"/>
              </w:rPr>
              <w:t>；</w:t>
            </w:r>
            <w:r>
              <w:rPr>
                <w:rFonts w:ascii="宋体" w:eastAsia="宋体" w:hAnsi="宋体" w:cs="宋体"/>
                <w:kern w:val="0"/>
                <w:sz w:val="22"/>
                <w:szCs w:val="22"/>
              </w:rPr>
              <w:t>马淑清：</w:t>
            </w:r>
            <w:r>
              <w:rPr>
                <w:rFonts w:ascii="宋体" w:eastAsia="宋体" w:hAnsi="宋体" w:cs="宋体"/>
                <w:kern w:val="0"/>
                <w:sz w:val="22"/>
                <w:szCs w:val="22"/>
                <w:lang w:val="en-US"/>
              </w:rPr>
              <w:t>0→8.16</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北京博大会成投资管理中心（有限合伙）：</w:t>
            </w:r>
            <w:r>
              <w:rPr>
                <w:rFonts w:ascii="宋体" w:eastAsia="宋体" w:hAnsi="宋体" w:cs="宋体"/>
                <w:kern w:val="0"/>
                <w:sz w:val="22"/>
                <w:szCs w:val="22"/>
                <w:lang w:val="en-US"/>
              </w:rPr>
              <w:t>0→7.88</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潘建文：</w:t>
            </w:r>
            <w:r>
              <w:rPr>
                <w:rFonts w:ascii="宋体" w:eastAsia="宋体" w:hAnsi="宋体" w:cs="宋体"/>
                <w:kern w:val="0"/>
                <w:sz w:val="22"/>
                <w:szCs w:val="22"/>
                <w:lang w:val="en-US"/>
              </w:rPr>
              <w:t>0→6.01</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徐平华：</w:t>
            </w:r>
            <w:r>
              <w:rPr>
                <w:rFonts w:ascii="宋体" w:eastAsia="宋体" w:hAnsi="宋体" w:cs="宋体"/>
                <w:kern w:val="0"/>
                <w:sz w:val="22"/>
                <w:szCs w:val="22"/>
                <w:lang w:val="en-US"/>
              </w:rPr>
              <w:t>0→5.25</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北京唐实宏祥投资管理中心（有限合伙）：</w:t>
            </w:r>
            <w:r>
              <w:rPr>
                <w:rFonts w:ascii="宋体" w:eastAsia="宋体" w:hAnsi="宋体" w:cs="宋体"/>
                <w:kern w:val="0"/>
                <w:sz w:val="22"/>
                <w:szCs w:val="22"/>
                <w:lang w:val="en-US"/>
              </w:rPr>
              <w:t>0→2.72</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赵达峰：</w:t>
            </w:r>
            <w:r>
              <w:rPr>
                <w:rFonts w:ascii="宋体" w:eastAsia="宋体" w:hAnsi="宋体" w:cs="宋体"/>
                <w:kern w:val="0"/>
                <w:sz w:val="22"/>
                <w:szCs w:val="22"/>
                <w:lang w:val="en-US"/>
              </w:rPr>
              <w:t>0→2.63</w:t>
            </w:r>
            <w:r>
              <w:rPr>
                <w:rFonts w:ascii="宋体" w:eastAsia="宋体" w:hAnsi="宋体" w:cs="宋体"/>
                <w:kern w:val="0"/>
                <w:sz w:val="22"/>
                <w:szCs w:val="22"/>
              </w:rPr>
              <w:t>万</w:t>
            </w:r>
            <w:r>
              <w:rPr>
                <w:kern w:val="0"/>
                <w:sz w:val="20"/>
                <w:szCs w:val="20"/>
              </w:rPr>
              <w:t>；</w:t>
            </w:r>
          </w:p>
          <w:p w:rsidR="003A5CE8" w:rsidRDefault="007038D7">
            <w:pPr>
              <w:pStyle w:val="A5"/>
              <w:widowControl/>
              <w:jc w:val="left"/>
            </w:pPr>
            <w:r>
              <w:rPr>
                <w:rFonts w:ascii="宋体" w:eastAsia="宋体" w:hAnsi="宋体" w:cs="宋体"/>
                <w:kern w:val="0"/>
                <w:sz w:val="22"/>
                <w:szCs w:val="22"/>
              </w:rPr>
              <w:t>北京百团百利创业投资中心：</w:t>
            </w:r>
            <w:r>
              <w:rPr>
                <w:rFonts w:ascii="宋体" w:eastAsia="宋体" w:hAnsi="宋体" w:cs="宋体"/>
                <w:kern w:val="0"/>
                <w:sz w:val="22"/>
                <w:szCs w:val="22"/>
                <w:lang w:val="en-US"/>
              </w:rPr>
              <w:t>0→1.84</w:t>
            </w:r>
            <w:r>
              <w:rPr>
                <w:rFonts w:ascii="宋体" w:eastAsia="宋体" w:hAnsi="宋体" w:cs="宋体"/>
                <w:kern w:val="0"/>
                <w:sz w:val="22"/>
                <w:szCs w:val="22"/>
              </w:rPr>
              <w:t>万</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8</w:t>
            </w:r>
            <w:r>
              <w:rPr>
                <w:rFonts w:ascii="宋体" w:eastAsia="宋体" w:hAnsi="宋体" w:cs="宋体"/>
                <w:kern w:val="0"/>
                <w:sz w:val="22"/>
                <w:szCs w:val="22"/>
              </w:rPr>
              <w:t>月</w:t>
            </w:r>
            <w:r>
              <w:rPr>
                <w:rFonts w:ascii="宋体" w:eastAsia="宋体" w:hAnsi="宋体" w:cs="宋体"/>
                <w:kern w:val="0"/>
                <w:sz w:val="22"/>
                <w:szCs w:val="22"/>
                <w:lang w:val="en-US"/>
              </w:rPr>
              <w:t>14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实收资本</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lang w:val="en-US"/>
              </w:rPr>
              <w:t>262.5</w:t>
            </w:r>
            <w:r>
              <w:rPr>
                <w:rFonts w:ascii="宋体" w:eastAsia="宋体" w:hAnsi="宋体" w:cs="宋体"/>
                <w:kern w:val="0"/>
                <w:sz w:val="22"/>
                <w:szCs w:val="22"/>
              </w:rPr>
              <w:t>万</w:t>
            </w:r>
            <w:r>
              <w:rPr>
                <w:rFonts w:ascii="宋体" w:eastAsia="宋体" w:hAnsi="宋体" w:cs="宋体"/>
                <w:kern w:val="0"/>
                <w:sz w:val="22"/>
                <w:szCs w:val="22"/>
                <w:lang w:val="en-US"/>
              </w:rPr>
              <w:t>→271.94</w:t>
            </w:r>
            <w:r>
              <w:rPr>
                <w:rFonts w:ascii="宋体" w:eastAsia="宋体" w:hAnsi="宋体" w:cs="宋体"/>
                <w:kern w:val="0"/>
                <w:sz w:val="22"/>
                <w:szCs w:val="22"/>
              </w:rPr>
              <w:t>万</w:t>
            </w:r>
          </w:p>
        </w:tc>
      </w:tr>
      <w:tr w:rsidR="003A5CE8">
        <w:trPr>
          <w:trHeight w:val="154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9</w:t>
            </w:r>
            <w:r>
              <w:rPr>
                <w:rFonts w:ascii="宋体" w:eastAsia="宋体" w:hAnsi="宋体" w:cs="宋体"/>
                <w:kern w:val="0"/>
                <w:sz w:val="22"/>
                <w:szCs w:val="22"/>
              </w:rPr>
              <w:t>月</w:t>
            </w:r>
            <w:r>
              <w:rPr>
                <w:rFonts w:ascii="宋体" w:eastAsia="宋体" w:hAnsi="宋体" w:cs="宋体"/>
                <w:kern w:val="0"/>
                <w:sz w:val="22"/>
                <w:szCs w:val="22"/>
                <w:lang w:val="en-US"/>
              </w:rPr>
              <w:t>11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rPr>
              <w:t>投资人信息变更：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rPr>
                <w:kern w:val="0"/>
                <w:sz w:val="20"/>
                <w:szCs w:val="20"/>
              </w:rPr>
            </w:pPr>
            <w:r>
              <w:rPr>
                <w:rFonts w:ascii="宋体" w:eastAsia="宋体" w:hAnsi="宋体" w:cs="宋体"/>
                <w:kern w:val="0"/>
                <w:sz w:val="22"/>
                <w:szCs w:val="22"/>
              </w:rPr>
              <w:t>北京科桥成长创业投资中心（有限合伙）：</w:t>
            </w:r>
            <w:r>
              <w:rPr>
                <w:rFonts w:ascii="宋体" w:eastAsia="宋体" w:hAnsi="宋体" w:cs="宋体"/>
                <w:kern w:val="0"/>
                <w:sz w:val="22"/>
                <w:szCs w:val="22"/>
                <w:lang w:val="en-US"/>
              </w:rPr>
              <w:t>0→21.97</w:t>
            </w:r>
            <w:r>
              <w:rPr>
                <w:rFonts w:ascii="宋体" w:eastAsia="宋体" w:hAnsi="宋体" w:cs="宋体"/>
                <w:kern w:val="0"/>
                <w:sz w:val="22"/>
                <w:szCs w:val="22"/>
              </w:rPr>
              <w:t>万</w:t>
            </w:r>
            <w:r>
              <w:rPr>
                <w:kern w:val="0"/>
                <w:sz w:val="20"/>
                <w:szCs w:val="20"/>
              </w:rPr>
              <w:t>；</w:t>
            </w:r>
          </w:p>
          <w:p w:rsidR="003A5CE8" w:rsidRDefault="007038D7">
            <w:pPr>
              <w:pStyle w:val="A5"/>
              <w:widowControl/>
              <w:jc w:val="left"/>
            </w:pPr>
            <w:r>
              <w:rPr>
                <w:rFonts w:ascii="宋体" w:eastAsia="宋体" w:hAnsi="宋体" w:cs="宋体"/>
                <w:kern w:val="0"/>
                <w:sz w:val="22"/>
                <w:szCs w:val="22"/>
              </w:rPr>
              <w:t>北京瑞益创享文化投资中心（有限合伙）：</w:t>
            </w:r>
            <w:r>
              <w:rPr>
                <w:rFonts w:ascii="宋体" w:eastAsia="宋体" w:hAnsi="宋体" w:cs="宋体"/>
                <w:kern w:val="0"/>
                <w:sz w:val="22"/>
                <w:szCs w:val="22"/>
                <w:lang w:val="en-US"/>
              </w:rPr>
              <w:t>0→19.86</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9</w:t>
            </w:r>
            <w:r>
              <w:rPr>
                <w:rFonts w:ascii="宋体" w:eastAsia="宋体" w:hAnsi="宋体" w:cs="宋体"/>
                <w:kern w:val="0"/>
                <w:sz w:val="22"/>
                <w:szCs w:val="22"/>
              </w:rPr>
              <w:t>月</w:t>
            </w:r>
            <w:r>
              <w:rPr>
                <w:rFonts w:ascii="宋体" w:eastAsia="宋体" w:hAnsi="宋体" w:cs="宋体"/>
                <w:kern w:val="0"/>
                <w:sz w:val="22"/>
                <w:szCs w:val="22"/>
                <w:lang w:val="en-US"/>
              </w:rPr>
              <w:t>11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实收资本</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lang w:val="en-US"/>
              </w:rPr>
              <w:t>271.94</w:t>
            </w:r>
            <w:r>
              <w:rPr>
                <w:rFonts w:ascii="宋体" w:eastAsia="宋体" w:hAnsi="宋体" w:cs="宋体"/>
                <w:kern w:val="0"/>
                <w:sz w:val="22"/>
                <w:szCs w:val="22"/>
              </w:rPr>
              <w:t>万</w:t>
            </w:r>
            <w:r>
              <w:rPr>
                <w:rFonts w:ascii="宋体" w:eastAsia="宋体" w:hAnsi="宋体" w:cs="宋体"/>
                <w:kern w:val="0"/>
                <w:sz w:val="22"/>
                <w:szCs w:val="22"/>
                <w:lang w:val="en-US"/>
              </w:rPr>
              <w:t>→313.77</w:t>
            </w:r>
            <w:r>
              <w:rPr>
                <w:rFonts w:ascii="宋体" w:eastAsia="宋体" w:hAnsi="宋体" w:cs="宋体"/>
                <w:kern w:val="0"/>
                <w:sz w:val="22"/>
                <w:szCs w:val="22"/>
              </w:rPr>
              <w:t>万</w:t>
            </w:r>
          </w:p>
        </w:tc>
      </w:tr>
      <w:tr w:rsidR="003A5CE8">
        <w:trPr>
          <w:trHeight w:val="6804"/>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lang w:val="en-US"/>
              </w:rPr>
              <w:lastRenderedPageBreak/>
              <w:t>2013</w:t>
            </w:r>
            <w:r>
              <w:rPr>
                <w:rFonts w:ascii="宋体" w:eastAsia="宋体" w:hAnsi="宋体" w:cs="宋体"/>
                <w:kern w:val="0"/>
                <w:sz w:val="22"/>
                <w:szCs w:val="22"/>
              </w:rPr>
              <w:t>年</w:t>
            </w:r>
            <w:r>
              <w:rPr>
                <w:rFonts w:ascii="宋体" w:eastAsia="宋体" w:hAnsi="宋体" w:cs="宋体"/>
                <w:kern w:val="0"/>
                <w:sz w:val="22"/>
                <w:szCs w:val="22"/>
                <w:lang w:val="en-US"/>
              </w:rPr>
              <w:t>9</w:t>
            </w:r>
            <w:r>
              <w:rPr>
                <w:rFonts w:ascii="宋体" w:eastAsia="宋体" w:hAnsi="宋体" w:cs="宋体"/>
                <w:kern w:val="0"/>
                <w:sz w:val="22"/>
                <w:szCs w:val="22"/>
              </w:rPr>
              <w:t>月</w:t>
            </w:r>
            <w:r>
              <w:rPr>
                <w:rFonts w:ascii="宋体" w:eastAsia="宋体" w:hAnsi="宋体" w:cs="宋体"/>
                <w:kern w:val="0"/>
                <w:sz w:val="22"/>
                <w:szCs w:val="22"/>
                <w:lang w:val="en-US"/>
              </w:rPr>
              <w:t>23</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rPr>
              <w:t>投资人信息变更：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rPr>
                <w:kern w:val="0"/>
                <w:sz w:val="20"/>
                <w:szCs w:val="20"/>
              </w:rPr>
            </w:pPr>
            <w:r>
              <w:rPr>
                <w:rFonts w:ascii="宋体" w:eastAsia="宋体" w:hAnsi="宋体" w:cs="宋体"/>
                <w:kern w:val="0"/>
                <w:sz w:val="22"/>
                <w:szCs w:val="22"/>
              </w:rPr>
              <w:t>陈黎明：</w:t>
            </w:r>
            <w:r>
              <w:rPr>
                <w:rFonts w:ascii="宋体" w:eastAsia="宋体" w:hAnsi="宋体" w:cs="宋体"/>
                <w:kern w:val="0"/>
                <w:sz w:val="22"/>
                <w:szCs w:val="22"/>
                <w:lang w:val="en-US"/>
              </w:rPr>
              <w:t>139.02</w:t>
            </w:r>
            <w:r>
              <w:rPr>
                <w:rFonts w:ascii="宋体" w:eastAsia="宋体" w:hAnsi="宋体" w:cs="宋体"/>
                <w:kern w:val="0"/>
                <w:sz w:val="22"/>
                <w:szCs w:val="22"/>
              </w:rPr>
              <w:t>万</w:t>
            </w:r>
            <w:r>
              <w:rPr>
                <w:rFonts w:ascii="宋体" w:eastAsia="宋体" w:hAnsi="宋体" w:cs="宋体"/>
                <w:kern w:val="0"/>
                <w:sz w:val="22"/>
                <w:szCs w:val="22"/>
                <w:lang w:val="en-US"/>
              </w:rPr>
              <w:t>→885.8</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吴梅林：</w:t>
            </w:r>
            <w:r>
              <w:rPr>
                <w:rFonts w:ascii="宋体" w:eastAsia="宋体" w:hAnsi="宋体" w:cs="宋体"/>
                <w:kern w:val="0"/>
                <w:sz w:val="22"/>
                <w:szCs w:val="22"/>
                <w:lang w:val="en-US"/>
              </w:rPr>
              <w:t>74.75</w:t>
            </w:r>
            <w:r>
              <w:rPr>
                <w:rFonts w:ascii="宋体" w:eastAsia="宋体" w:hAnsi="宋体" w:cs="宋体"/>
                <w:kern w:val="0"/>
                <w:sz w:val="22"/>
                <w:szCs w:val="22"/>
              </w:rPr>
              <w:t>万</w:t>
            </w:r>
            <w:r>
              <w:rPr>
                <w:rFonts w:ascii="宋体" w:eastAsia="宋体" w:hAnsi="宋体" w:cs="宋体"/>
                <w:kern w:val="0"/>
                <w:sz w:val="22"/>
                <w:szCs w:val="22"/>
                <w:lang w:val="en-US"/>
              </w:rPr>
              <w:t>→476.74</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北京科桥成长创业投资中心（有限合伙）：</w:t>
            </w:r>
            <w:r>
              <w:rPr>
                <w:rFonts w:ascii="宋体" w:eastAsia="宋体" w:hAnsi="宋体" w:cs="宋体"/>
                <w:kern w:val="0"/>
                <w:sz w:val="22"/>
                <w:szCs w:val="22"/>
                <w:lang w:val="en-US"/>
              </w:rPr>
              <w:t>21.97</w:t>
            </w:r>
            <w:r>
              <w:rPr>
                <w:rFonts w:ascii="宋体" w:eastAsia="宋体" w:hAnsi="宋体" w:cs="宋体"/>
                <w:kern w:val="0"/>
                <w:sz w:val="22"/>
                <w:szCs w:val="22"/>
              </w:rPr>
              <w:t>万</w:t>
            </w:r>
            <w:r>
              <w:rPr>
                <w:rFonts w:ascii="宋体" w:eastAsia="宋体" w:hAnsi="宋体" w:cs="宋体"/>
                <w:kern w:val="0"/>
                <w:sz w:val="22"/>
                <w:szCs w:val="22"/>
                <w:lang w:val="en-US"/>
              </w:rPr>
              <w:t>→140</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北京瑞益创享文化投资中心（有限合伙）：</w:t>
            </w:r>
            <w:r>
              <w:rPr>
                <w:rFonts w:ascii="宋体" w:eastAsia="宋体" w:hAnsi="宋体" w:cs="宋体"/>
                <w:kern w:val="0"/>
                <w:sz w:val="22"/>
                <w:szCs w:val="22"/>
                <w:lang w:val="en-US"/>
              </w:rPr>
              <w:t>19.86</w:t>
            </w:r>
            <w:r>
              <w:rPr>
                <w:rFonts w:ascii="宋体" w:eastAsia="宋体" w:hAnsi="宋体" w:cs="宋体"/>
                <w:kern w:val="0"/>
                <w:sz w:val="22"/>
                <w:szCs w:val="22"/>
              </w:rPr>
              <w:t>万</w:t>
            </w:r>
            <w:r>
              <w:rPr>
                <w:rFonts w:ascii="宋体" w:eastAsia="宋体" w:hAnsi="宋体" w:cs="宋体"/>
                <w:kern w:val="0"/>
                <w:sz w:val="22"/>
                <w:szCs w:val="22"/>
                <w:lang w:val="en-US"/>
              </w:rPr>
              <w:t>→126.6</w:t>
            </w:r>
            <w:r>
              <w:rPr>
                <w:rFonts w:ascii="宋体" w:eastAsia="宋体" w:hAnsi="宋体" w:cs="宋体"/>
                <w:kern w:val="0"/>
                <w:sz w:val="22"/>
                <w:szCs w:val="22"/>
              </w:rPr>
              <w:t>万</w:t>
            </w:r>
            <w:r>
              <w:rPr>
                <w:kern w:val="0"/>
                <w:sz w:val="20"/>
                <w:szCs w:val="20"/>
              </w:rPr>
              <w:t>；</w:t>
            </w:r>
          </w:p>
          <w:p w:rsidR="003A5CE8" w:rsidRDefault="007038D7">
            <w:pPr>
              <w:pStyle w:val="A5"/>
              <w:widowControl/>
              <w:jc w:val="left"/>
              <w:rPr>
                <w:rFonts w:ascii="宋体" w:eastAsia="宋体" w:hAnsi="宋体" w:cs="宋体"/>
                <w:kern w:val="0"/>
                <w:sz w:val="22"/>
                <w:szCs w:val="22"/>
              </w:rPr>
            </w:pPr>
            <w:r>
              <w:rPr>
                <w:rFonts w:ascii="宋体" w:eastAsia="宋体" w:hAnsi="宋体" w:cs="宋体"/>
                <w:kern w:val="0"/>
                <w:sz w:val="22"/>
                <w:szCs w:val="22"/>
              </w:rPr>
              <w:t>钱淼根：</w:t>
            </w:r>
            <w:r>
              <w:rPr>
                <w:rFonts w:ascii="宋体" w:eastAsia="宋体" w:hAnsi="宋体" w:cs="宋体"/>
                <w:kern w:val="0"/>
                <w:sz w:val="22"/>
                <w:szCs w:val="22"/>
                <w:lang w:val="en-US"/>
              </w:rPr>
              <w:t>11.63</w:t>
            </w:r>
            <w:r>
              <w:rPr>
                <w:rFonts w:ascii="宋体" w:eastAsia="宋体" w:hAnsi="宋体" w:cs="宋体"/>
                <w:kern w:val="0"/>
                <w:sz w:val="22"/>
                <w:szCs w:val="22"/>
              </w:rPr>
              <w:t>万</w:t>
            </w:r>
            <w:r>
              <w:rPr>
                <w:rFonts w:ascii="宋体" w:eastAsia="宋体" w:hAnsi="宋体" w:cs="宋体"/>
                <w:kern w:val="0"/>
                <w:sz w:val="22"/>
                <w:szCs w:val="22"/>
                <w:lang w:val="en-US"/>
              </w:rPr>
              <w:t>→74.2</w:t>
            </w:r>
            <w:r>
              <w:rPr>
                <w:rFonts w:ascii="宋体" w:eastAsia="宋体" w:hAnsi="宋体" w:cs="宋体"/>
                <w:kern w:val="0"/>
                <w:sz w:val="22"/>
                <w:szCs w:val="22"/>
              </w:rPr>
              <w:t>万</w:t>
            </w:r>
          </w:p>
          <w:p w:rsidR="003A5CE8" w:rsidRDefault="007038D7">
            <w:pPr>
              <w:pStyle w:val="A5"/>
              <w:widowControl/>
              <w:jc w:val="left"/>
              <w:rPr>
                <w:kern w:val="0"/>
                <w:sz w:val="20"/>
                <w:szCs w:val="20"/>
              </w:rPr>
            </w:pPr>
            <w:r>
              <w:rPr>
                <w:rFonts w:ascii="宋体" w:eastAsia="宋体" w:hAnsi="宋体" w:cs="宋体"/>
                <w:kern w:val="0"/>
                <w:sz w:val="22"/>
                <w:szCs w:val="22"/>
              </w:rPr>
              <w:t>杭州文广创业投资有限公司：</w:t>
            </w:r>
            <w:r>
              <w:rPr>
                <w:rFonts w:ascii="宋体" w:eastAsia="宋体" w:hAnsi="宋体" w:cs="宋体"/>
                <w:kern w:val="0"/>
                <w:sz w:val="22"/>
                <w:szCs w:val="22"/>
                <w:lang w:val="en-US"/>
              </w:rPr>
              <w:t>9.44</w:t>
            </w:r>
            <w:r>
              <w:rPr>
                <w:rFonts w:ascii="宋体" w:eastAsia="宋体" w:hAnsi="宋体" w:cs="宋体"/>
                <w:kern w:val="0"/>
                <w:sz w:val="22"/>
                <w:szCs w:val="22"/>
              </w:rPr>
              <w:t>万</w:t>
            </w:r>
            <w:r>
              <w:rPr>
                <w:rFonts w:ascii="宋体" w:eastAsia="宋体" w:hAnsi="宋体" w:cs="宋体"/>
                <w:kern w:val="0"/>
                <w:sz w:val="22"/>
                <w:szCs w:val="22"/>
                <w:lang w:val="en-US"/>
              </w:rPr>
              <w:t>→60.2</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马淑清：</w:t>
            </w:r>
            <w:r>
              <w:rPr>
                <w:rFonts w:ascii="宋体" w:eastAsia="宋体" w:hAnsi="宋体" w:cs="宋体"/>
                <w:kern w:val="0"/>
                <w:sz w:val="22"/>
                <w:szCs w:val="22"/>
                <w:lang w:val="en-US"/>
              </w:rPr>
              <w:t>8.16</w:t>
            </w:r>
            <w:r>
              <w:rPr>
                <w:rFonts w:ascii="宋体" w:eastAsia="宋体" w:hAnsi="宋体" w:cs="宋体"/>
                <w:kern w:val="0"/>
                <w:sz w:val="22"/>
                <w:szCs w:val="22"/>
              </w:rPr>
              <w:t>万</w:t>
            </w:r>
            <w:r>
              <w:rPr>
                <w:rFonts w:ascii="宋体" w:eastAsia="宋体" w:hAnsi="宋体" w:cs="宋体"/>
                <w:kern w:val="0"/>
                <w:sz w:val="22"/>
                <w:szCs w:val="22"/>
                <w:lang w:val="en-US"/>
              </w:rPr>
              <w:t>→52</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北京博大会成投资管理中心（有限合伙）：</w:t>
            </w:r>
            <w:r>
              <w:rPr>
                <w:rFonts w:ascii="宋体" w:eastAsia="宋体" w:hAnsi="宋体" w:cs="宋体"/>
                <w:kern w:val="0"/>
                <w:sz w:val="22"/>
                <w:szCs w:val="22"/>
                <w:lang w:val="en-US"/>
              </w:rPr>
              <w:t>7.88</w:t>
            </w:r>
            <w:r>
              <w:rPr>
                <w:rFonts w:ascii="宋体" w:eastAsia="宋体" w:hAnsi="宋体" w:cs="宋体"/>
                <w:kern w:val="0"/>
                <w:sz w:val="22"/>
                <w:szCs w:val="22"/>
              </w:rPr>
              <w:t>万</w:t>
            </w:r>
            <w:r>
              <w:rPr>
                <w:rFonts w:ascii="宋体" w:eastAsia="宋体" w:hAnsi="宋体" w:cs="宋体"/>
                <w:kern w:val="0"/>
                <w:sz w:val="22"/>
                <w:szCs w:val="22"/>
                <w:lang w:val="en-US"/>
              </w:rPr>
              <w:t>→50.2</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潘建文：</w:t>
            </w:r>
            <w:r>
              <w:rPr>
                <w:rFonts w:ascii="宋体" w:eastAsia="宋体" w:hAnsi="宋体" w:cs="宋体"/>
                <w:kern w:val="0"/>
                <w:sz w:val="22"/>
                <w:szCs w:val="22"/>
                <w:lang w:val="en-US"/>
              </w:rPr>
              <w:t>6.01</w:t>
            </w:r>
            <w:r>
              <w:rPr>
                <w:rFonts w:ascii="宋体" w:eastAsia="宋体" w:hAnsi="宋体" w:cs="宋体"/>
                <w:kern w:val="0"/>
                <w:sz w:val="22"/>
                <w:szCs w:val="22"/>
              </w:rPr>
              <w:t>万</w:t>
            </w:r>
            <w:r>
              <w:rPr>
                <w:rFonts w:ascii="宋体" w:eastAsia="宋体" w:hAnsi="宋体" w:cs="宋体"/>
                <w:kern w:val="0"/>
                <w:sz w:val="22"/>
                <w:szCs w:val="22"/>
                <w:lang w:val="en-US"/>
              </w:rPr>
              <w:t>→38.4</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徐平华：</w:t>
            </w:r>
            <w:r>
              <w:rPr>
                <w:rFonts w:ascii="宋体" w:eastAsia="宋体" w:hAnsi="宋体" w:cs="宋体"/>
                <w:kern w:val="0"/>
                <w:sz w:val="22"/>
                <w:szCs w:val="22"/>
                <w:lang w:val="en-US"/>
              </w:rPr>
              <w:t>5.25</w:t>
            </w:r>
            <w:r>
              <w:rPr>
                <w:rFonts w:ascii="宋体" w:eastAsia="宋体" w:hAnsi="宋体" w:cs="宋体"/>
                <w:kern w:val="0"/>
                <w:sz w:val="22"/>
                <w:szCs w:val="22"/>
              </w:rPr>
              <w:t>万</w:t>
            </w:r>
            <w:r>
              <w:rPr>
                <w:rFonts w:ascii="宋体" w:eastAsia="宋体" w:hAnsi="宋体" w:cs="宋体"/>
                <w:kern w:val="0"/>
                <w:sz w:val="22"/>
                <w:szCs w:val="22"/>
                <w:lang w:val="en-US"/>
              </w:rPr>
              <w:t>→33.4</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北京唐实宏祥投资管理中心（有限合伙）：</w:t>
            </w:r>
            <w:r>
              <w:rPr>
                <w:rFonts w:ascii="宋体" w:eastAsia="宋体" w:hAnsi="宋体" w:cs="宋体"/>
                <w:kern w:val="0"/>
                <w:sz w:val="22"/>
                <w:szCs w:val="22"/>
                <w:lang w:val="en-US"/>
              </w:rPr>
              <w:t>2.72</w:t>
            </w:r>
            <w:r>
              <w:rPr>
                <w:rFonts w:ascii="宋体" w:eastAsia="宋体" w:hAnsi="宋体" w:cs="宋体"/>
                <w:kern w:val="0"/>
                <w:sz w:val="22"/>
                <w:szCs w:val="22"/>
              </w:rPr>
              <w:t>万</w:t>
            </w:r>
            <w:r>
              <w:rPr>
                <w:rFonts w:ascii="宋体" w:eastAsia="宋体" w:hAnsi="宋体" w:cs="宋体"/>
                <w:kern w:val="0"/>
                <w:sz w:val="22"/>
                <w:szCs w:val="22"/>
                <w:lang w:val="en-US"/>
              </w:rPr>
              <w:t>→17.4</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章剑：</w:t>
            </w:r>
            <w:r>
              <w:rPr>
                <w:rFonts w:ascii="宋体" w:eastAsia="宋体" w:hAnsi="宋体" w:cs="宋体"/>
                <w:kern w:val="0"/>
                <w:sz w:val="22"/>
                <w:szCs w:val="22"/>
                <w:lang w:val="en-US"/>
              </w:rPr>
              <w:t>2.63</w:t>
            </w:r>
            <w:r>
              <w:rPr>
                <w:rFonts w:ascii="宋体" w:eastAsia="宋体" w:hAnsi="宋体" w:cs="宋体"/>
                <w:kern w:val="0"/>
                <w:sz w:val="22"/>
                <w:szCs w:val="22"/>
              </w:rPr>
              <w:t>万</w:t>
            </w:r>
            <w:r>
              <w:rPr>
                <w:rFonts w:ascii="宋体" w:eastAsia="宋体" w:hAnsi="宋体" w:cs="宋体"/>
                <w:kern w:val="0"/>
                <w:sz w:val="22"/>
                <w:szCs w:val="22"/>
                <w:lang w:val="en-US"/>
              </w:rPr>
              <w:t>→16.8</w:t>
            </w:r>
            <w:r>
              <w:rPr>
                <w:rFonts w:ascii="宋体" w:eastAsia="宋体" w:hAnsi="宋体" w:cs="宋体"/>
                <w:kern w:val="0"/>
                <w:sz w:val="22"/>
                <w:szCs w:val="22"/>
              </w:rPr>
              <w:t>万</w:t>
            </w:r>
            <w:r>
              <w:rPr>
                <w:kern w:val="0"/>
                <w:sz w:val="20"/>
                <w:szCs w:val="20"/>
              </w:rPr>
              <w:t>；</w:t>
            </w:r>
          </w:p>
          <w:p w:rsidR="003A5CE8" w:rsidRDefault="007038D7">
            <w:pPr>
              <w:pStyle w:val="A5"/>
              <w:widowControl/>
              <w:jc w:val="left"/>
              <w:rPr>
                <w:kern w:val="0"/>
                <w:sz w:val="20"/>
                <w:szCs w:val="20"/>
              </w:rPr>
            </w:pPr>
            <w:r>
              <w:rPr>
                <w:rFonts w:ascii="宋体" w:eastAsia="宋体" w:hAnsi="宋体" w:cs="宋体"/>
                <w:kern w:val="0"/>
                <w:sz w:val="22"/>
                <w:szCs w:val="22"/>
              </w:rPr>
              <w:t>赵达峰：</w:t>
            </w:r>
            <w:r>
              <w:rPr>
                <w:rFonts w:ascii="宋体" w:eastAsia="宋体" w:hAnsi="宋体" w:cs="宋体"/>
                <w:kern w:val="0"/>
                <w:sz w:val="22"/>
                <w:szCs w:val="22"/>
                <w:lang w:val="en-US"/>
              </w:rPr>
              <w:t>2.63</w:t>
            </w:r>
            <w:r>
              <w:rPr>
                <w:rFonts w:ascii="宋体" w:eastAsia="宋体" w:hAnsi="宋体" w:cs="宋体"/>
                <w:kern w:val="0"/>
                <w:sz w:val="22"/>
                <w:szCs w:val="22"/>
              </w:rPr>
              <w:t>万</w:t>
            </w:r>
            <w:r>
              <w:rPr>
                <w:rFonts w:ascii="宋体" w:eastAsia="宋体" w:hAnsi="宋体" w:cs="宋体"/>
                <w:kern w:val="0"/>
                <w:sz w:val="22"/>
                <w:szCs w:val="22"/>
                <w:lang w:val="en-US"/>
              </w:rPr>
              <w:t>→16.8</w:t>
            </w:r>
            <w:r>
              <w:rPr>
                <w:rFonts w:ascii="宋体" w:eastAsia="宋体" w:hAnsi="宋体" w:cs="宋体"/>
                <w:kern w:val="0"/>
                <w:sz w:val="22"/>
                <w:szCs w:val="22"/>
              </w:rPr>
              <w:t>万</w:t>
            </w:r>
            <w:r>
              <w:rPr>
                <w:kern w:val="0"/>
                <w:sz w:val="20"/>
                <w:szCs w:val="20"/>
              </w:rPr>
              <w:t>；</w:t>
            </w:r>
          </w:p>
          <w:p w:rsidR="003A5CE8" w:rsidRDefault="007038D7">
            <w:pPr>
              <w:pStyle w:val="A5"/>
              <w:widowControl/>
              <w:jc w:val="left"/>
            </w:pPr>
            <w:r>
              <w:rPr>
                <w:rFonts w:ascii="宋体" w:eastAsia="宋体" w:hAnsi="宋体" w:cs="宋体"/>
                <w:kern w:val="0"/>
                <w:sz w:val="22"/>
                <w:szCs w:val="22"/>
              </w:rPr>
              <w:t>北京百团百利创业投资中心：</w:t>
            </w:r>
            <w:r>
              <w:rPr>
                <w:rFonts w:ascii="宋体" w:eastAsia="宋体" w:hAnsi="宋体" w:cs="宋体"/>
                <w:kern w:val="0"/>
                <w:sz w:val="22"/>
                <w:szCs w:val="22"/>
                <w:lang w:val="en-US"/>
              </w:rPr>
              <w:t>1.84</w:t>
            </w:r>
            <w:r>
              <w:rPr>
                <w:rFonts w:ascii="宋体" w:eastAsia="宋体" w:hAnsi="宋体" w:cs="宋体"/>
                <w:kern w:val="0"/>
                <w:sz w:val="22"/>
                <w:szCs w:val="22"/>
              </w:rPr>
              <w:t>万→</w:t>
            </w:r>
            <w:r>
              <w:rPr>
                <w:rFonts w:ascii="宋体" w:eastAsia="宋体" w:hAnsi="宋体" w:cs="宋体"/>
                <w:kern w:val="0"/>
                <w:sz w:val="22"/>
                <w:szCs w:val="22"/>
                <w:lang w:val="en-US"/>
              </w:rPr>
              <w:t>11.8</w:t>
            </w:r>
            <w:r>
              <w:rPr>
                <w:rFonts w:ascii="宋体" w:eastAsia="宋体" w:hAnsi="宋体" w:cs="宋体"/>
                <w:kern w:val="0"/>
                <w:sz w:val="22"/>
                <w:szCs w:val="22"/>
              </w:rPr>
              <w:t>万</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9</w:t>
            </w:r>
            <w:r>
              <w:rPr>
                <w:rFonts w:ascii="宋体" w:eastAsia="宋体" w:hAnsi="宋体" w:cs="宋体"/>
                <w:kern w:val="0"/>
                <w:sz w:val="22"/>
                <w:szCs w:val="22"/>
              </w:rPr>
              <w:t>月</w:t>
            </w:r>
            <w:r>
              <w:rPr>
                <w:rFonts w:ascii="宋体" w:eastAsia="宋体" w:hAnsi="宋体" w:cs="宋体"/>
                <w:kern w:val="0"/>
                <w:sz w:val="22"/>
                <w:szCs w:val="22"/>
                <w:lang w:val="en-US"/>
              </w:rPr>
              <w:t>23</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实收资本</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lang w:val="en-US"/>
              </w:rPr>
              <w:t>313.77</w:t>
            </w:r>
            <w:r>
              <w:rPr>
                <w:rFonts w:ascii="宋体" w:eastAsia="宋体" w:hAnsi="宋体" w:cs="宋体"/>
                <w:kern w:val="0"/>
                <w:sz w:val="22"/>
                <w:szCs w:val="22"/>
              </w:rPr>
              <w:t>万</w:t>
            </w:r>
            <w:r>
              <w:rPr>
                <w:rFonts w:ascii="宋体" w:eastAsia="宋体" w:hAnsi="宋体" w:cs="宋体"/>
                <w:kern w:val="0"/>
                <w:sz w:val="22"/>
                <w:szCs w:val="22"/>
                <w:lang w:val="en-US"/>
              </w:rPr>
              <w:t>→2000</w:t>
            </w:r>
            <w:r>
              <w:rPr>
                <w:rFonts w:ascii="宋体" w:eastAsia="宋体" w:hAnsi="宋体" w:cs="宋体"/>
                <w:kern w:val="0"/>
                <w:sz w:val="22"/>
                <w:szCs w:val="22"/>
              </w:rPr>
              <w:t>万</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2014</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投资人</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山东润邦科技投资有限公司 0→40万</w:t>
            </w:r>
          </w:p>
        </w:tc>
      </w:tr>
      <w:tr w:rsidR="003A5CE8">
        <w:trPr>
          <w:trHeight w:val="131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2015</w:t>
            </w:r>
            <w:r>
              <w:rPr>
                <w:rFonts w:ascii="宋体" w:eastAsia="宋体" w:hAnsi="宋体" w:cs="宋体"/>
                <w:kern w:val="0"/>
                <w:sz w:val="22"/>
                <w:szCs w:val="22"/>
              </w:rPr>
              <w:t>年</w:t>
            </w:r>
            <w:r>
              <w:rPr>
                <w:rFonts w:ascii="宋体" w:eastAsia="宋体" w:hAnsi="宋体" w:cs="宋体"/>
                <w:kern w:val="0"/>
                <w:sz w:val="22"/>
                <w:szCs w:val="22"/>
                <w:lang w:val="en-US"/>
              </w:rPr>
              <w:t>2</w:t>
            </w:r>
            <w:r>
              <w:rPr>
                <w:rFonts w:ascii="宋体" w:eastAsia="宋体" w:hAnsi="宋体" w:cs="宋体"/>
                <w:kern w:val="0"/>
                <w:sz w:val="22"/>
                <w:szCs w:val="22"/>
              </w:rPr>
              <w:t>月</w:t>
            </w:r>
            <w:r>
              <w:rPr>
                <w:rFonts w:ascii="宋体" w:eastAsia="宋体" w:hAnsi="宋体" w:cs="宋体"/>
                <w:kern w:val="0"/>
                <w:sz w:val="22"/>
                <w:szCs w:val="22"/>
                <w:lang w:val="en-US"/>
              </w:rPr>
              <w:t>3</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投资人</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rPr>
                <w:rFonts w:ascii="宋体" w:eastAsia="宋体" w:hAnsi="宋体" w:cs="宋体"/>
                <w:kern w:val="0"/>
                <w:sz w:val="22"/>
                <w:szCs w:val="22"/>
              </w:rPr>
            </w:pPr>
            <w:r>
              <w:rPr>
                <w:rFonts w:ascii="宋体" w:eastAsia="宋体" w:hAnsi="宋体" w:cs="宋体"/>
                <w:kern w:val="0"/>
                <w:sz w:val="22"/>
                <w:szCs w:val="22"/>
              </w:rPr>
              <w:t>迪瑞资产管理（杭州）有限公司0→250万</w:t>
            </w:r>
          </w:p>
          <w:p w:rsidR="003A5CE8" w:rsidRDefault="007038D7">
            <w:pPr>
              <w:pStyle w:val="A5"/>
              <w:widowControl/>
              <w:jc w:val="left"/>
              <w:rPr>
                <w:rFonts w:ascii="宋体" w:eastAsia="宋体" w:hAnsi="宋体" w:cs="宋体"/>
                <w:kern w:val="0"/>
                <w:sz w:val="22"/>
                <w:szCs w:val="22"/>
              </w:rPr>
            </w:pPr>
            <w:r>
              <w:rPr>
                <w:rFonts w:ascii="宋体" w:eastAsia="宋体" w:hAnsi="宋体" w:cs="宋体"/>
                <w:kern w:val="0"/>
                <w:sz w:val="22"/>
                <w:szCs w:val="22"/>
              </w:rPr>
              <w:t>；</w:t>
            </w:r>
          </w:p>
          <w:p w:rsidR="003A5CE8" w:rsidRDefault="007038D7">
            <w:pPr>
              <w:pStyle w:val="A5"/>
              <w:widowControl/>
              <w:jc w:val="left"/>
            </w:pPr>
            <w:r>
              <w:rPr>
                <w:rFonts w:ascii="宋体" w:eastAsia="宋体" w:hAnsi="宋体" w:cs="宋体"/>
                <w:kern w:val="0"/>
                <w:sz w:val="22"/>
                <w:szCs w:val="22"/>
              </w:rPr>
              <w:t>曹金玲0→180万</w:t>
            </w:r>
          </w:p>
        </w:tc>
      </w:tr>
    </w:tbl>
    <w:p w:rsidR="003A5CE8" w:rsidRDefault="003A5CE8">
      <w:pPr>
        <w:pStyle w:val="A5"/>
        <w:rPr>
          <w:rFonts w:ascii="宋体" w:eastAsia="宋体" w:hAnsi="宋体" w:cs="宋体"/>
        </w:rPr>
      </w:pPr>
    </w:p>
    <w:p w:rsidR="003A5CE8" w:rsidRDefault="003A5CE8">
      <w:pPr>
        <w:pStyle w:val="A5"/>
        <w:rPr>
          <w:rFonts w:ascii="宋体" w:eastAsia="宋体" w:hAnsi="宋体" w:cs="宋体"/>
        </w:rPr>
      </w:pPr>
    </w:p>
    <w:p w:rsidR="003A5CE8" w:rsidRDefault="003A5CE8">
      <w:pPr>
        <w:pStyle w:val="A5"/>
        <w:rPr>
          <w:rFonts w:ascii="宋体" w:eastAsia="宋体" w:hAnsi="宋体" w:cs="宋体"/>
        </w:rPr>
      </w:pPr>
    </w:p>
    <w:p w:rsidR="003A5CE8" w:rsidRDefault="003A5CE8">
      <w:pPr>
        <w:pStyle w:val="A5"/>
        <w:rPr>
          <w:rFonts w:ascii="宋体" w:eastAsia="宋体" w:hAnsi="宋体" w:cs="宋体"/>
        </w:rPr>
      </w:pPr>
    </w:p>
    <w:p w:rsidR="003A5CE8" w:rsidRDefault="007038D7">
      <w:pPr>
        <w:pStyle w:val="A5"/>
        <w:rPr>
          <w:rFonts w:ascii="宋体" w:eastAsia="宋体" w:hAnsi="宋体" w:cs="宋体"/>
        </w:rPr>
      </w:pPr>
      <w:r>
        <w:rPr>
          <w:rFonts w:ascii="宋体" w:eastAsia="宋体" w:hAnsi="宋体" w:cs="宋体"/>
        </w:rPr>
        <w:t>经营范围变更：</w:t>
      </w:r>
    </w:p>
    <w:p w:rsidR="003A5CE8" w:rsidRDefault="003A5CE8">
      <w:pPr>
        <w:pStyle w:val="A5"/>
        <w:rPr>
          <w:rFonts w:ascii="宋体" w:eastAsia="宋体" w:hAnsi="宋体" w:cs="宋体"/>
        </w:rPr>
      </w:pPr>
    </w:p>
    <w:tbl>
      <w:tblPr>
        <w:tblStyle w:val="TableNormal"/>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20"/>
        <w:gridCol w:w="2620"/>
        <w:gridCol w:w="4300"/>
      </w:tblGrid>
      <w:tr w:rsidR="003A5CE8">
        <w:trPr>
          <w:trHeight w:val="70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2011</w:t>
            </w:r>
            <w:r>
              <w:rPr>
                <w:rFonts w:ascii="宋体" w:eastAsia="宋体" w:hAnsi="宋体" w:cs="宋体"/>
                <w:kern w:val="0"/>
                <w:sz w:val="22"/>
                <w:szCs w:val="22"/>
              </w:rPr>
              <w:t>年</w:t>
            </w:r>
            <w:r>
              <w:rPr>
                <w:rFonts w:ascii="宋体" w:eastAsia="宋体" w:hAnsi="宋体" w:cs="宋体"/>
                <w:kern w:val="0"/>
                <w:sz w:val="22"/>
                <w:szCs w:val="22"/>
                <w:lang w:val="en-US"/>
              </w:rPr>
              <w:t>1</w:t>
            </w:r>
            <w:r>
              <w:rPr>
                <w:rFonts w:ascii="宋体" w:eastAsia="宋体" w:hAnsi="宋体" w:cs="宋体"/>
                <w:kern w:val="0"/>
                <w:sz w:val="22"/>
                <w:szCs w:val="22"/>
              </w:rPr>
              <w:t>月</w:t>
            </w:r>
            <w:r>
              <w:rPr>
                <w:rFonts w:ascii="宋体" w:eastAsia="宋体" w:hAnsi="宋体" w:cs="宋体"/>
                <w:kern w:val="0"/>
                <w:sz w:val="22"/>
                <w:szCs w:val="22"/>
                <w:lang w:val="en-US"/>
              </w:rPr>
              <w:t>25</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经营范围变更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批发、零售图书、报纸、期刊、电子出版物。</w:t>
            </w:r>
          </w:p>
        </w:tc>
      </w:tr>
      <w:tr w:rsidR="003A5CE8">
        <w:trPr>
          <w:trHeight w:val="134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2011</w:t>
            </w:r>
            <w:r>
              <w:rPr>
                <w:rFonts w:ascii="宋体" w:eastAsia="宋体" w:hAnsi="宋体" w:cs="宋体"/>
                <w:kern w:val="0"/>
                <w:sz w:val="22"/>
                <w:szCs w:val="22"/>
              </w:rPr>
              <w:t>年</w:t>
            </w:r>
            <w:r>
              <w:rPr>
                <w:rFonts w:ascii="宋体" w:eastAsia="宋体" w:hAnsi="宋体" w:cs="宋体"/>
                <w:kern w:val="0"/>
                <w:sz w:val="22"/>
                <w:szCs w:val="22"/>
                <w:lang w:val="en-US"/>
              </w:rPr>
              <w:t>10</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经营范围变更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增加了：设计、制作、代理、发布广告；销售文化用品；企业策划；组织文化艺术交流活动（不含演出）。（未取得行政许可的项目除外）</w:t>
            </w:r>
          </w:p>
        </w:tc>
      </w:tr>
      <w:tr w:rsidR="003A5CE8">
        <w:trPr>
          <w:trHeight w:val="70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lastRenderedPageBreak/>
              <w:t>2012</w:t>
            </w:r>
            <w:r>
              <w:rPr>
                <w:rFonts w:ascii="宋体" w:eastAsia="宋体" w:hAnsi="宋体" w:cs="宋体"/>
                <w:kern w:val="0"/>
                <w:sz w:val="22"/>
                <w:szCs w:val="22"/>
              </w:rPr>
              <w:t>年</w:t>
            </w:r>
            <w:r>
              <w:rPr>
                <w:rFonts w:ascii="宋体" w:eastAsia="宋体" w:hAnsi="宋体" w:cs="宋体"/>
                <w:kern w:val="0"/>
                <w:sz w:val="22"/>
                <w:szCs w:val="22"/>
                <w:lang w:val="en-US"/>
              </w:rPr>
              <w:t>1</w:t>
            </w:r>
            <w:r>
              <w:rPr>
                <w:rFonts w:ascii="宋体" w:eastAsia="宋体" w:hAnsi="宋体" w:cs="宋体"/>
                <w:kern w:val="0"/>
                <w:sz w:val="22"/>
                <w:szCs w:val="22"/>
              </w:rPr>
              <w:t>月</w:t>
            </w:r>
            <w:r>
              <w:rPr>
                <w:rFonts w:ascii="宋体" w:eastAsia="宋体" w:hAnsi="宋体" w:cs="宋体"/>
                <w:kern w:val="0"/>
                <w:sz w:val="22"/>
                <w:szCs w:val="22"/>
                <w:lang w:val="en-US"/>
              </w:rPr>
              <w:t>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经营范围变更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删除了：批发、零售图书、报纸、期刊、电子出版物。</w:t>
            </w:r>
          </w:p>
        </w:tc>
      </w:tr>
      <w:tr w:rsidR="003A5CE8">
        <w:trPr>
          <w:trHeight w:val="102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2012</w:t>
            </w:r>
            <w:r>
              <w:rPr>
                <w:rFonts w:ascii="宋体" w:eastAsia="宋体" w:hAnsi="宋体" w:cs="宋体"/>
                <w:kern w:val="0"/>
                <w:sz w:val="22"/>
                <w:szCs w:val="22"/>
              </w:rPr>
              <w:t>年</w:t>
            </w:r>
            <w:r>
              <w:rPr>
                <w:rFonts w:ascii="宋体" w:eastAsia="宋体" w:hAnsi="宋体" w:cs="宋体"/>
                <w:kern w:val="0"/>
                <w:sz w:val="22"/>
                <w:szCs w:val="22"/>
                <w:lang w:val="en-US"/>
              </w:rPr>
              <w:t>5</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经营范围变更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增加了：图书、报纸、期刊、电子出版物批发、零售（有效期至</w:t>
            </w:r>
            <w:r>
              <w:rPr>
                <w:rFonts w:ascii="宋体" w:eastAsia="宋体" w:hAnsi="宋体" w:cs="宋体"/>
                <w:kern w:val="0"/>
                <w:sz w:val="22"/>
                <w:szCs w:val="22"/>
                <w:lang w:val="en-US"/>
              </w:rPr>
              <w:t>2015</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31</w:t>
            </w:r>
            <w:r>
              <w:rPr>
                <w:rFonts w:ascii="宋体" w:eastAsia="宋体" w:hAnsi="宋体" w:cs="宋体"/>
                <w:kern w:val="0"/>
                <w:sz w:val="22"/>
                <w:szCs w:val="22"/>
              </w:rPr>
              <w:t>日止）。</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2012</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24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经营范围变更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增加了：销售工艺品</w:t>
            </w:r>
          </w:p>
        </w:tc>
      </w:tr>
      <w:tr w:rsidR="003A5CE8">
        <w:trPr>
          <w:trHeight w:val="134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8</w:t>
            </w:r>
            <w:r>
              <w:rPr>
                <w:rFonts w:ascii="宋体" w:eastAsia="宋体" w:hAnsi="宋体" w:cs="宋体"/>
                <w:kern w:val="0"/>
                <w:sz w:val="22"/>
                <w:szCs w:val="22"/>
              </w:rPr>
              <w:t>月</w:t>
            </w:r>
            <w:r>
              <w:rPr>
                <w:rFonts w:ascii="宋体" w:eastAsia="宋体" w:hAnsi="宋体" w:cs="宋体"/>
                <w:kern w:val="0"/>
                <w:sz w:val="22"/>
                <w:szCs w:val="22"/>
                <w:lang w:val="en-US"/>
              </w:rPr>
              <w:t>14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经营范围变更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增加了：中国内地已出版的图书内容的网络（含手机网络）传播（互联网出版许可证有效期至</w:t>
            </w:r>
            <w:r>
              <w:rPr>
                <w:rFonts w:ascii="宋体" w:eastAsia="宋体" w:hAnsi="宋体" w:cs="宋体"/>
                <w:kern w:val="0"/>
                <w:sz w:val="22"/>
                <w:szCs w:val="22"/>
                <w:lang w:val="en-US"/>
              </w:rPr>
              <w:t>2014</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31</w:t>
            </w:r>
            <w:r>
              <w:rPr>
                <w:rFonts w:ascii="宋体" w:eastAsia="宋体" w:hAnsi="宋体" w:cs="宋体"/>
                <w:kern w:val="0"/>
                <w:sz w:val="22"/>
                <w:szCs w:val="22"/>
              </w:rPr>
              <w:t>日）</w:t>
            </w:r>
          </w:p>
        </w:tc>
      </w:tr>
    </w:tbl>
    <w:p w:rsidR="003A5CE8" w:rsidRDefault="003A5CE8">
      <w:pPr>
        <w:pStyle w:val="A5"/>
        <w:rPr>
          <w:rFonts w:ascii="宋体" w:eastAsia="宋体" w:hAnsi="宋体" w:cs="宋体"/>
        </w:rPr>
      </w:pPr>
    </w:p>
    <w:p w:rsidR="003A5CE8" w:rsidRDefault="003A5CE8">
      <w:pPr>
        <w:pStyle w:val="A5"/>
        <w:rPr>
          <w:rFonts w:ascii="宋体" w:eastAsia="宋体" w:hAnsi="宋体" w:cs="宋体"/>
        </w:rPr>
      </w:pPr>
    </w:p>
    <w:p w:rsidR="003A5CE8" w:rsidRDefault="003A5CE8">
      <w:pPr>
        <w:pStyle w:val="A5"/>
        <w:rPr>
          <w:rFonts w:ascii="宋体" w:eastAsia="宋体" w:hAnsi="宋体" w:cs="宋体"/>
        </w:rPr>
      </w:pPr>
    </w:p>
    <w:p w:rsidR="003A5CE8" w:rsidRDefault="003A5CE8">
      <w:pPr>
        <w:pStyle w:val="A5"/>
        <w:rPr>
          <w:rFonts w:ascii="宋体" w:eastAsia="宋体" w:hAnsi="宋体" w:cs="宋体"/>
          <w:kern w:val="0"/>
          <w:shd w:val="clear" w:color="auto" w:fill="FFFFFF"/>
        </w:rPr>
      </w:pPr>
    </w:p>
    <w:p w:rsidR="003A5CE8" w:rsidRDefault="007038D7">
      <w:pPr>
        <w:pStyle w:val="A5"/>
        <w:rPr>
          <w:rFonts w:ascii="宋体" w:eastAsia="宋体" w:hAnsi="宋体" w:cs="宋体"/>
          <w:kern w:val="0"/>
          <w:shd w:val="clear" w:color="auto" w:fill="FFFFFF"/>
        </w:rPr>
      </w:pPr>
      <w:r>
        <w:rPr>
          <w:rFonts w:ascii="宋体" w:eastAsia="宋体" w:hAnsi="宋体" w:cs="宋体"/>
          <w:kern w:val="0"/>
          <w:shd w:val="clear" w:color="auto" w:fill="FFFFFF"/>
        </w:rPr>
        <w:t>其他变更：</w:t>
      </w:r>
    </w:p>
    <w:p w:rsidR="003A5CE8" w:rsidRDefault="003A5CE8">
      <w:pPr>
        <w:pStyle w:val="A5"/>
        <w:rPr>
          <w:rFonts w:ascii="宋体" w:eastAsia="宋体" w:hAnsi="宋体" w:cs="宋体"/>
          <w:kern w:val="0"/>
          <w:shd w:val="clear" w:color="auto" w:fill="FFFFFF"/>
        </w:rPr>
      </w:pPr>
    </w:p>
    <w:tbl>
      <w:tblPr>
        <w:tblStyle w:val="TableNormal"/>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20"/>
        <w:gridCol w:w="2620"/>
        <w:gridCol w:w="4300"/>
      </w:tblGrid>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2005</w:t>
            </w:r>
            <w:r>
              <w:rPr>
                <w:rFonts w:ascii="宋体" w:eastAsia="宋体" w:hAnsi="宋体" w:cs="宋体"/>
                <w:kern w:val="0"/>
                <w:sz w:val="22"/>
                <w:szCs w:val="22"/>
              </w:rPr>
              <w:t>年</w:t>
            </w:r>
            <w:r>
              <w:rPr>
                <w:rFonts w:ascii="宋体" w:eastAsia="宋体" w:hAnsi="宋体" w:cs="宋体"/>
                <w:kern w:val="0"/>
                <w:sz w:val="22"/>
                <w:szCs w:val="22"/>
                <w:lang w:val="en-US"/>
              </w:rPr>
              <w:t>1</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成立</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公司成立</w:t>
            </w:r>
          </w:p>
        </w:tc>
      </w:tr>
      <w:tr w:rsidR="003A5CE8">
        <w:trPr>
          <w:trHeight w:val="70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2008</w:t>
            </w:r>
            <w:r>
              <w:rPr>
                <w:rFonts w:ascii="宋体" w:eastAsia="宋体" w:hAnsi="宋体" w:cs="宋体"/>
                <w:kern w:val="0"/>
                <w:sz w:val="22"/>
                <w:szCs w:val="22"/>
              </w:rPr>
              <w:t>年</w:t>
            </w:r>
            <w:r>
              <w:rPr>
                <w:rFonts w:ascii="宋体" w:eastAsia="宋体" w:hAnsi="宋体" w:cs="宋体"/>
                <w:kern w:val="0"/>
                <w:sz w:val="22"/>
                <w:szCs w:val="22"/>
                <w:lang w:val="en-US"/>
              </w:rPr>
              <w:t>10</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并购</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战略并购了贝塔斯曼旗下出版公司</w:t>
            </w:r>
            <w:r>
              <w:rPr>
                <w:rFonts w:ascii="宋体" w:eastAsia="宋体" w:hAnsi="宋体" w:cs="宋体"/>
                <w:kern w:val="0"/>
                <w:sz w:val="22"/>
                <w:szCs w:val="22"/>
                <w:lang w:val="en-US"/>
              </w:rPr>
              <w:t>--</w:t>
            </w:r>
            <w:r>
              <w:rPr>
                <w:rFonts w:ascii="宋体" w:eastAsia="宋体" w:hAnsi="宋体" w:cs="宋体"/>
                <w:kern w:val="0"/>
                <w:sz w:val="22"/>
                <w:szCs w:val="22"/>
              </w:rPr>
              <w:t>杭州贝榕图书有限公司（榕树下）</w:t>
            </w:r>
          </w:p>
        </w:tc>
      </w:tr>
      <w:tr w:rsidR="003A5CE8">
        <w:trPr>
          <w:trHeight w:val="70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2011</w:t>
            </w:r>
            <w:r>
              <w:rPr>
                <w:rFonts w:ascii="宋体" w:eastAsia="宋体" w:hAnsi="宋体" w:cs="宋体"/>
                <w:kern w:val="0"/>
                <w:sz w:val="22"/>
                <w:szCs w:val="22"/>
              </w:rPr>
              <w:t>年</w:t>
            </w:r>
            <w:r>
              <w:rPr>
                <w:rFonts w:ascii="宋体" w:eastAsia="宋体" w:hAnsi="宋体" w:cs="宋体"/>
                <w:kern w:val="0"/>
                <w:sz w:val="22"/>
                <w:szCs w:val="22"/>
                <w:lang w:val="en-US"/>
              </w:rPr>
              <w:t>8</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法人变更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陈黎明变为公司法人，任董事长兼经理，原法人吴梅林变为董事。</w:t>
            </w:r>
          </w:p>
        </w:tc>
      </w:tr>
      <w:tr w:rsidR="003A5CE8">
        <w:trPr>
          <w:trHeight w:val="70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2011</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1</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住所变更</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入住中国北京出版创意产业园区；原址为万柳新贵</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2012</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24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董事、经理、监事</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闫斌不再担任董事、史翔补缺</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2012</w:t>
            </w:r>
            <w:r>
              <w:rPr>
                <w:rFonts w:ascii="宋体" w:eastAsia="宋体" w:hAnsi="宋体" w:cs="宋体"/>
                <w:kern w:val="0"/>
                <w:sz w:val="22"/>
                <w:szCs w:val="22"/>
              </w:rPr>
              <w:t>年</w:t>
            </w:r>
            <w:r>
              <w:rPr>
                <w:rFonts w:ascii="宋体" w:eastAsia="宋体" w:hAnsi="宋体" w:cs="宋体"/>
                <w:kern w:val="0"/>
                <w:sz w:val="22"/>
                <w:szCs w:val="22"/>
                <w:lang w:val="en-US"/>
              </w:rPr>
              <w:t>12</w:t>
            </w:r>
            <w:r>
              <w:rPr>
                <w:rFonts w:ascii="宋体" w:eastAsia="宋体" w:hAnsi="宋体" w:cs="宋体"/>
                <w:kern w:val="0"/>
                <w:sz w:val="22"/>
                <w:szCs w:val="22"/>
              </w:rPr>
              <w:t>月</w:t>
            </w:r>
            <w:r>
              <w:rPr>
                <w:rFonts w:ascii="宋体" w:eastAsia="宋体" w:hAnsi="宋体" w:cs="宋体"/>
                <w:kern w:val="0"/>
                <w:sz w:val="22"/>
                <w:szCs w:val="22"/>
                <w:lang w:val="en-US"/>
              </w:rPr>
              <w:t>24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企业名称</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名字中增加了『传媒』二字</w:t>
            </w:r>
          </w:p>
        </w:tc>
      </w:tr>
      <w:tr w:rsidR="003A5CE8">
        <w:trPr>
          <w:trHeight w:val="38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right"/>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8</w:t>
            </w:r>
            <w:r>
              <w:rPr>
                <w:rFonts w:ascii="宋体" w:eastAsia="宋体" w:hAnsi="宋体" w:cs="宋体"/>
                <w:kern w:val="0"/>
                <w:sz w:val="22"/>
                <w:szCs w:val="22"/>
              </w:rPr>
              <w:t>月</w:t>
            </w:r>
            <w:r>
              <w:rPr>
                <w:rFonts w:ascii="宋体" w:eastAsia="宋体" w:hAnsi="宋体" w:cs="宋体"/>
                <w:kern w:val="0"/>
                <w:sz w:val="22"/>
                <w:szCs w:val="22"/>
                <w:lang w:val="en-US"/>
              </w:rPr>
              <w:t>14</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董事、经理、监事</w:t>
            </w:r>
          </w:p>
        </w:tc>
        <w:tc>
          <w:tcPr>
            <w:tcW w:w="4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pPr>
            <w:r>
              <w:rPr>
                <w:rFonts w:ascii="宋体" w:eastAsia="宋体" w:hAnsi="宋体" w:cs="宋体"/>
                <w:kern w:val="0"/>
                <w:sz w:val="22"/>
                <w:szCs w:val="22"/>
              </w:rPr>
              <w:t>沈黎明、何洪伟不再担任董事</w:t>
            </w:r>
          </w:p>
        </w:tc>
      </w:tr>
      <w:tr w:rsidR="003A5CE8">
        <w:trPr>
          <w:trHeight w:val="2060"/>
        </w:trPr>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lang w:val="en-US"/>
              </w:rPr>
              <w:t>2013</w:t>
            </w:r>
            <w:r>
              <w:rPr>
                <w:rFonts w:ascii="宋体" w:eastAsia="宋体" w:hAnsi="宋体" w:cs="宋体"/>
                <w:kern w:val="0"/>
                <w:sz w:val="22"/>
                <w:szCs w:val="22"/>
              </w:rPr>
              <w:t>年</w:t>
            </w:r>
            <w:r>
              <w:rPr>
                <w:rFonts w:ascii="宋体" w:eastAsia="宋体" w:hAnsi="宋体" w:cs="宋体"/>
                <w:kern w:val="0"/>
                <w:sz w:val="22"/>
                <w:szCs w:val="22"/>
                <w:lang w:val="en-US"/>
              </w:rPr>
              <w:t>9</w:t>
            </w:r>
            <w:r>
              <w:rPr>
                <w:rFonts w:ascii="宋体" w:eastAsia="宋体" w:hAnsi="宋体" w:cs="宋体"/>
                <w:kern w:val="0"/>
                <w:sz w:val="22"/>
                <w:szCs w:val="22"/>
              </w:rPr>
              <w:t>月</w:t>
            </w:r>
            <w:r>
              <w:rPr>
                <w:rFonts w:ascii="宋体" w:eastAsia="宋体" w:hAnsi="宋体" w:cs="宋体"/>
                <w:kern w:val="0"/>
                <w:sz w:val="22"/>
                <w:szCs w:val="22"/>
                <w:lang w:val="en-US"/>
              </w:rPr>
              <w:t>23</w:t>
            </w:r>
            <w:r>
              <w:rPr>
                <w:rFonts w:ascii="宋体" w:eastAsia="宋体" w:hAnsi="宋体" w:cs="宋体"/>
                <w:kern w:val="0"/>
                <w:sz w:val="22"/>
                <w:szCs w:val="22"/>
              </w:rPr>
              <w:t>日</w:t>
            </w:r>
          </w:p>
        </w:tc>
        <w:tc>
          <w:tcPr>
            <w:tcW w:w="2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center"/>
            </w:pPr>
            <w:r>
              <w:rPr>
                <w:rFonts w:ascii="宋体" w:eastAsia="宋体" w:hAnsi="宋体" w:cs="宋体"/>
                <w:kern w:val="0"/>
                <w:sz w:val="22"/>
                <w:szCs w:val="22"/>
              </w:rPr>
              <w:t>董事、经理、监事</w:t>
            </w:r>
          </w:p>
        </w:tc>
        <w:tc>
          <w:tcPr>
            <w:tcW w:w="4300" w:type="dxa"/>
            <w:tcBorders>
              <w:top w:val="single" w:sz="4" w:space="0" w:color="000000"/>
              <w:left w:val="single" w:sz="4" w:space="0" w:color="000000"/>
              <w:bottom w:val="single" w:sz="2" w:space="0" w:color="000000"/>
              <w:right w:val="single" w:sz="4" w:space="0" w:color="000000"/>
            </w:tcBorders>
            <w:shd w:val="clear" w:color="auto" w:fill="auto"/>
            <w:tcMar>
              <w:top w:w="80" w:type="dxa"/>
              <w:left w:w="80" w:type="dxa"/>
              <w:bottom w:w="80" w:type="dxa"/>
              <w:right w:w="80" w:type="dxa"/>
            </w:tcMar>
          </w:tcPr>
          <w:p w:rsidR="003A5CE8" w:rsidRDefault="007038D7">
            <w:pPr>
              <w:pStyle w:val="A5"/>
              <w:widowControl/>
              <w:jc w:val="left"/>
              <w:rPr>
                <w:rFonts w:ascii="宋体" w:eastAsia="宋体" w:hAnsi="宋体" w:cs="宋体"/>
                <w:kern w:val="0"/>
                <w:sz w:val="22"/>
                <w:szCs w:val="22"/>
              </w:rPr>
            </w:pPr>
            <w:r>
              <w:rPr>
                <w:rFonts w:ascii="宋体" w:eastAsia="宋体" w:hAnsi="宋体" w:cs="宋体"/>
                <w:kern w:val="0"/>
                <w:sz w:val="22"/>
                <w:szCs w:val="22"/>
              </w:rPr>
              <w:t>新增董事：于乐、万峰、吕松</w:t>
            </w:r>
          </w:p>
          <w:p w:rsidR="003A5CE8" w:rsidRDefault="007038D7">
            <w:pPr>
              <w:pStyle w:val="A5"/>
              <w:widowControl/>
              <w:jc w:val="left"/>
              <w:rPr>
                <w:rFonts w:ascii="宋体" w:eastAsia="宋体" w:hAnsi="宋体" w:cs="宋体"/>
                <w:kern w:val="0"/>
                <w:sz w:val="22"/>
                <w:szCs w:val="22"/>
              </w:rPr>
            </w:pPr>
            <w:r>
              <w:rPr>
                <w:rFonts w:ascii="宋体" w:eastAsia="宋体" w:hAnsi="宋体" w:cs="宋体"/>
                <w:kern w:val="0"/>
                <w:sz w:val="22"/>
                <w:szCs w:val="22"/>
              </w:rPr>
              <w:t>新增监事：张国林、范凌佳</w:t>
            </w:r>
          </w:p>
          <w:p w:rsidR="003A5CE8" w:rsidRDefault="007038D7">
            <w:pPr>
              <w:pStyle w:val="A5"/>
              <w:jc w:val="left"/>
            </w:pPr>
            <w:r>
              <w:rPr>
                <w:rFonts w:ascii="宋体" w:eastAsia="宋体" w:hAnsi="宋体" w:cs="宋体"/>
                <w:kern w:val="0"/>
                <w:sz w:val="22"/>
                <w:szCs w:val="22"/>
              </w:rPr>
              <w:t>吴梅林不再任董事、张令佳由监事变为董事、史翔由董事变为监事会主席。</w:t>
            </w:r>
          </w:p>
        </w:tc>
      </w:tr>
    </w:tbl>
    <w:p w:rsidR="003A5CE8" w:rsidRDefault="003A5CE8">
      <w:pPr>
        <w:pStyle w:val="A5"/>
        <w:rPr>
          <w:rFonts w:ascii="宋体" w:eastAsia="宋体" w:hAnsi="宋体" w:cs="宋体"/>
          <w:kern w:val="0"/>
          <w:shd w:val="clear" w:color="auto" w:fill="FFFFFF"/>
        </w:rPr>
      </w:pPr>
    </w:p>
    <w:p w:rsidR="003A5CE8" w:rsidRDefault="003A5CE8">
      <w:pPr>
        <w:pStyle w:val="A5"/>
        <w:rPr>
          <w:rFonts w:ascii="宋体" w:eastAsia="宋体" w:hAnsi="宋体" w:cs="宋体"/>
          <w:kern w:val="0"/>
          <w:shd w:val="clear" w:color="auto" w:fill="FFFFFF"/>
        </w:rPr>
      </w:pPr>
    </w:p>
    <w:p w:rsidR="003A5CE8" w:rsidRDefault="003A5CE8">
      <w:pPr>
        <w:pStyle w:val="A5"/>
        <w:rPr>
          <w:rFonts w:ascii="宋体" w:eastAsia="宋体" w:hAnsi="宋体" w:cs="宋体"/>
          <w:kern w:val="0"/>
          <w:shd w:val="clear" w:color="auto" w:fill="FFFFFF"/>
        </w:rPr>
      </w:pPr>
    </w:p>
    <w:p w:rsidR="003A5CE8" w:rsidRDefault="003A5CE8">
      <w:pPr>
        <w:pStyle w:val="A5"/>
        <w:rPr>
          <w:rFonts w:ascii="宋体" w:eastAsia="宋体" w:hAnsi="宋体" w:cs="宋体"/>
          <w:kern w:val="0"/>
          <w:sz w:val="22"/>
          <w:szCs w:val="22"/>
          <w:lang w:val="en-US"/>
        </w:rPr>
      </w:pPr>
    </w:p>
    <w:p w:rsidR="003A5CE8" w:rsidRDefault="007038D7">
      <w:pPr>
        <w:pStyle w:val="B"/>
        <w:spacing w:line="375" w:lineRule="atLeast"/>
        <w:rPr>
          <w:rFonts w:ascii="宋体" w:eastAsia="宋体" w:hAnsi="宋体" w:cs="宋体" w:hint="default"/>
          <w:sz w:val="22"/>
          <w:szCs w:val="22"/>
        </w:rPr>
      </w:pPr>
      <w:r>
        <w:rPr>
          <w:rFonts w:ascii="宋体" w:eastAsia="宋体" w:hAnsi="宋体" w:cs="宋体"/>
          <w:sz w:val="22"/>
          <w:szCs w:val="22"/>
          <w:lang w:val="en-US"/>
        </w:rPr>
        <w:t>&lt;</w:t>
      </w:r>
      <w:r>
        <w:rPr>
          <w:rFonts w:ascii="宋体" w:eastAsia="宋体" w:hAnsi="宋体" w:cs="宋体"/>
          <w:sz w:val="22"/>
          <w:szCs w:val="22"/>
        </w:rPr>
        <w:t>四</w:t>
      </w:r>
      <w:r>
        <w:rPr>
          <w:rFonts w:ascii="宋体" w:eastAsia="宋体" w:hAnsi="宋体" w:cs="宋体"/>
          <w:sz w:val="22"/>
          <w:szCs w:val="22"/>
          <w:lang w:val="en-US"/>
        </w:rPr>
        <w:t>&gt;</w:t>
      </w:r>
      <w:r>
        <w:rPr>
          <w:rFonts w:ascii="宋体" w:eastAsia="宋体" w:hAnsi="宋体" w:cs="宋体"/>
          <w:sz w:val="22"/>
          <w:szCs w:val="22"/>
        </w:rPr>
        <w:t>精典博维财务信息</w:t>
      </w:r>
      <w:r>
        <w:rPr>
          <w:rFonts w:ascii="宋体" w:eastAsia="宋体" w:hAnsi="宋体" w:cs="宋体"/>
          <w:sz w:val="22"/>
          <w:szCs w:val="22"/>
          <w:lang w:val="en-US"/>
        </w:rPr>
        <w:t>(</w:t>
      </w:r>
      <w:r>
        <w:rPr>
          <w:rFonts w:ascii="宋体" w:eastAsia="宋体" w:hAnsi="宋体" w:cs="宋体"/>
          <w:sz w:val="22"/>
          <w:szCs w:val="22"/>
        </w:rPr>
        <w:t>近</w:t>
      </w:r>
      <w:r>
        <w:rPr>
          <w:rFonts w:ascii="宋体" w:eastAsia="宋体" w:hAnsi="宋体" w:cs="宋体"/>
          <w:sz w:val="22"/>
          <w:szCs w:val="22"/>
          <w:lang w:val="en-US"/>
        </w:rPr>
        <w:t>5</w:t>
      </w:r>
      <w:r>
        <w:rPr>
          <w:rFonts w:ascii="宋体" w:eastAsia="宋体" w:hAnsi="宋体" w:cs="宋体"/>
          <w:sz w:val="22"/>
          <w:szCs w:val="22"/>
        </w:rPr>
        <w:t>年</w:t>
      </w:r>
      <w:r>
        <w:rPr>
          <w:rFonts w:ascii="宋体" w:eastAsia="宋体" w:hAnsi="宋体" w:cs="宋体"/>
          <w:sz w:val="22"/>
          <w:szCs w:val="22"/>
          <w:lang w:val="en-US"/>
        </w:rPr>
        <w:t xml:space="preserve">) </w:t>
      </w:r>
    </w:p>
    <w:p w:rsidR="003A5CE8" w:rsidRDefault="003A5CE8">
      <w:pPr>
        <w:pStyle w:val="B"/>
        <w:spacing w:line="375" w:lineRule="atLeast"/>
        <w:rPr>
          <w:rFonts w:ascii="宋体" w:eastAsia="宋体" w:hAnsi="宋体" w:cs="宋体" w:hint="default"/>
          <w:sz w:val="22"/>
          <w:szCs w:val="22"/>
        </w:rPr>
      </w:pPr>
    </w:p>
    <w:p w:rsidR="003A5CE8" w:rsidRDefault="007038D7">
      <w:pPr>
        <w:pStyle w:val="B"/>
        <w:widowControl w:val="0"/>
        <w:rPr>
          <w:rFonts w:ascii="宋体" w:eastAsia="宋体" w:hAnsi="宋体" w:cs="宋体" w:hint="default"/>
          <w:sz w:val="22"/>
          <w:szCs w:val="22"/>
        </w:rPr>
      </w:pPr>
      <w:r>
        <w:rPr>
          <w:rFonts w:ascii="宋体" w:eastAsia="宋体" w:hAnsi="宋体" w:cs="宋体"/>
          <w:sz w:val="22"/>
          <w:szCs w:val="22"/>
        </w:rPr>
        <w:t xml:space="preserve">资产负债表摘要 </w:t>
      </w:r>
      <w:r>
        <w:rPr>
          <w:rFonts w:ascii="宋体" w:eastAsia="宋体" w:hAnsi="宋体" w:cs="宋体"/>
          <w:sz w:val="22"/>
          <w:szCs w:val="22"/>
          <w:lang w:val="en-US"/>
        </w:rPr>
        <w:t>(CNY,</w:t>
      </w:r>
      <w:r>
        <w:rPr>
          <w:rFonts w:ascii="宋体" w:eastAsia="宋体" w:hAnsi="宋体" w:cs="宋体"/>
          <w:sz w:val="22"/>
          <w:szCs w:val="22"/>
        </w:rPr>
        <w:t>元</w:t>
      </w:r>
      <w:r>
        <w:rPr>
          <w:rFonts w:ascii="宋体" w:eastAsia="宋体" w:hAnsi="宋体" w:cs="宋体"/>
          <w:sz w:val="22"/>
          <w:szCs w:val="22"/>
          <w:lang w:val="en-US"/>
        </w:rPr>
        <w:t xml:space="preserve">) </w:t>
      </w:r>
    </w:p>
    <w:tbl>
      <w:tblPr>
        <w:tblStyle w:val="TableNormal"/>
        <w:tblW w:w="8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60"/>
        <w:gridCol w:w="1490"/>
        <w:gridCol w:w="1490"/>
        <w:gridCol w:w="1600"/>
        <w:gridCol w:w="1260"/>
        <w:gridCol w:w="1260"/>
      </w:tblGrid>
      <w:tr w:rsidR="003A5CE8">
        <w:trPr>
          <w:trHeight w:val="305"/>
        </w:trPr>
        <w:tc>
          <w:tcPr>
            <w:tcW w:w="126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3A5CE8">
            <w:pPr>
              <w:rPr>
                <w:lang w:eastAsia="zh-CN"/>
              </w:rPr>
            </w:pPr>
          </w:p>
        </w:tc>
        <w:tc>
          <w:tcPr>
            <w:tcW w:w="149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2014-12-31</w:t>
            </w:r>
          </w:p>
        </w:tc>
        <w:tc>
          <w:tcPr>
            <w:tcW w:w="149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2013-12-31</w:t>
            </w:r>
          </w:p>
        </w:tc>
        <w:tc>
          <w:tcPr>
            <w:tcW w:w="160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2012-12-31</w:t>
            </w:r>
          </w:p>
        </w:tc>
        <w:tc>
          <w:tcPr>
            <w:tcW w:w="126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2011-12-31</w:t>
            </w:r>
          </w:p>
        </w:tc>
        <w:tc>
          <w:tcPr>
            <w:tcW w:w="126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2010-12-31</w:t>
            </w:r>
          </w:p>
        </w:tc>
      </w:tr>
      <w:tr w:rsidR="003A5CE8">
        <w:trPr>
          <w:trHeight w:val="365"/>
        </w:trPr>
        <w:tc>
          <w:tcPr>
            <w:tcW w:w="12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rPr>
                <w:rFonts w:hint="default"/>
              </w:rPr>
            </w:pPr>
            <w:r>
              <w:rPr>
                <w:rFonts w:ascii="宋体" w:eastAsia="宋体" w:hAnsi="宋体" w:cs="宋体"/>
                <w:sz w:val="22"/>
                <w:szCs w:val="22"/>
              </w:rPr>
              <w:t>资产总计</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77,923,400.00</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73,685,500.00</w:t>
            </w:r>
          </w:p>
        </w:tc>
        <w:tc>
          <w:tcPr>
            <w:tcW w:w="160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111,857,700.00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r>
      <w:tr w:rsidR="003A5CE8">
        <w:trPr>
          <w:trHeight w:val="685"/>
        </w:trPr>
        <w:tc>
          <w:tcPr>
            <w:tcW w:w="12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rPr>
                <w:rFonts w:hint="default"/>
              </w:rPr>
            </w:pPr>
            <w:r>
              <w:rPr>
                <w:rFonts w:ascii="宋体" w:eastAsia="宋体" w:hAnsi="宋体" w:cs="宋体"/>
                <w:sz w:val="22"/>
                <w:szCs w:val="22"/>
              </w:rPr>
              <w:t>股东权益合计</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60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r>
    </w:tbl>
    <w:p w:rsidR="003A5CE8" w:rsidRDefault="003A5CE8">
      <w:pPr>
        <w:pStyle w:val="B"/>
        <w:widowControl w:val="0"/>
        <w:rPr>
          <w:rFonts w:ascii="宋体" w:eastAsia="宋体" w:hAnsi="宋体" w:cs="宋体" w:hint="default"/>
          <w:sz w:val="22"/>
          <w:szCs w:val="22"/>
        </w:rPr>
      </w:pPr>
    </w:p>
    <w:p w:rsidR="003A5CE8" w:rsidRDefault="003A5CE8">
      <w:pPr>
        <w:pStyle w:val="B"/>
        <w:widowControl w:val="0"/>
        <w:rPr>
          <w:rFonts w:ascii="宋体" w:eastAsia="宋体" w:hAnsi="宋体" w:cs="宋体" w:hint="default"/>
          <w:sz w:val="22"/>
          <w:szCs w:val="22"/>
        </w:rPr>
      </w:pPr>
    </w:p>
    <w:p w:rsidR="003A5CE8" w:rsidRDefault="003A5CE8">
      <w:pPr>
        <w:pStyle w:val="B"/>
        <w:widowControl w:val="0"/>
        <w:rPr>
          <w:rFonts w:ascii="宋体" w:eastAsia="宋体" w:hAnsi="宋体" w:cs="宋体" w:hint="default"/>
          <w:sz w:val="22"/>
          <w:szCs w:val="22"/>
        </w:rPr>
      </w:pPr>
    </w:p>
    <w:p w:rsidR="003A5CE8" w:rsidRDefault="003A5CE8">
      <w:pPr>
        <w:pStyle w:val="B"/>
        <w:rPr>
          <w:rFonts w:ascii="宋体" w:eastAsia="宋体" w:hAnsi="宋体" w:cs="宋体" w:hint="default"/>
          <w:sz w:val="22"/>
          <w:szCs w:val="22"/>
        </w:rPr>
      </w:pPr>
    </w:p>
    <w:p w:rsidR="003A5CE8" w:rsidRDefault="003A5CE8">
      <w:pPr>
        <w:pStyle w:val="B"/>
        <w:rPr>
          <w:rFonts w:ascii="宋体" w:eastAsia="宋体" w:hAnsi="宋体" w:cs="宋体" w:hint="default"/>
          <w:sz w:val="22"/>
          <w:szCs w:val="22"/>
        </w:rPr>
      </w:pPr>
    </w:p>
    <w:p w:rsidR="003A5CE8" w:rsidRDefault="007038D7">
      <w:pPr>
        <w:pStyle w:val="B"/>
        <w:widowControl w:val="0"/>
        <w:rPr>
          <w:rFonts w:ascii="宋体" w:eastAsia="宋体" w:hAnsi="宋体" w:cs="宋体" w:hint="default"/>
          <w:sz w:val="22"/>
          <w:szCs w:val="22"/>
        </w:rPr>
      </w:pPr>
      <w:r>
        <w:rPr>
          <w:rFonts w:ascii="宋体" w:eastAsia="宋体" w:hAnsi="宋体" w:cs="宋体"/>
          <w:sz w:val="22"/>
          <w:szCs w:val="22"/>
        </w:rPr>
        <w:t xml:space="preserve">损益表摘要 </w:t>
      </w:r>
      <w:r>
        <w:rPr>
          <w:rFonts w:ascii="宋体" w:eastAsia="宋体" w:hAnsi="宋体" w:cs="宋体"/>
          <w:sz w:val="22"/>
          <w:szCs w:val="22"/>
          <w:lang w:val="en-US"/>
        </w:rPr>
        <w:t>(CNY,</w:t>
      </w:r>
      <w:r>
        <w:rPr>
          <w:rFonts w:ascii="宋体" w:eastAsia="宋体" w:hAnsi="宋体" w:cs="宋体"/>
          <w:sz w:val="22"/>
          <w:szCs w:val="22"/>
        </w:rPr>
        <w:t>元</w:t>
      </w:r>
      <w:r>
        <w:rPr>
          <w:rFonts w:ascii="宋体" w:eastAsia="宋体" w:hAnsi="宋体" w:cs="宋体"/>
          <w:sz w:val="22"/>
          <w:szCs w:val="22"/>
          <w:lang w:val="en-US"/>
        </w:rPr>
        <w:t xml:space="preserve">) </w:t>
      </w:r>
    </w:p>
    <w:tbl>
      <w:tblPr>
        <w:tblStyle w:val="TableNormal"/>
        <w:tblW w:w="8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96"/>
        <w:gridCol w:w="1490"/>
        <w:gridCol w:w="1490"/>
        <w:gridCol w:w="1490"/>
        <w:gridCol w:w="1297"/>
        <w:gridCol w:w="1297"/>
      </w:tblGrid>
      <w:tr w:rsidR="003A5CE8">
        <w:trPr>
          <w:trHeight w:val="305"/>
        </w:trPr>
        <w:tc>
          <w:tcPr>
            <w:tcW w:w="1296"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3A5CE8"/>
        </w:tc>
        <w:tc>
          <w:tcPr>
            <w:tcW w:w="149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2014-12-31</w:t>
            </w:r>
          </w:p>
        </w:tc>
        <w:tc>
          <w:tcPr>
            <w:tcW w:w="149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2013-12-31</w:t>
            </w:r>
          </w:p>
        </w:tc>
        <w:tc>
          <w:tcPr>
            <w:tcW w:w="1490"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2012-12-31</w:t>
            </w:r>
          </w:p>
        </w:tc>
        <w:tc>
          <w:tcPr>
            <w:tcW w:w="1297"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2011-12-31</w:t>
            </w:r>
          </w:p>
        </w:tc>
        <w:tc>
          <w:tcPr>
            <w:tcW w:w="1297" w:type="dxa"/>
            <w:tcBorders>
              <w:top w:val="dashed" w:sz="6" w:space="0" w:color="E3E3E3"/>
              <w:left w:val="dashed" w:sz="6" w:space="0" w:color="E3E3E3"/>
              <w:bottom w:val="single" w:sz="6" w:space="0" w:color="000000"/>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2010-12-31</w:t>
            </w:r>
          </w:p>
        </w:tc>
      </w:tr>
      <w:tr w:rsidR="003A5CE8">
        <w:trPr>
          <w:trHeight w:val="365"/>
        </w:trPr>
        <w:tc>
          <w:tcPr>
            <w:tcW w:w="12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rPr>
                <w:rFonts w:hint="default"/>
              </w:rPr>
            </w:pPr>
            <w:r>
              <w:rPr>
                <w:rFonts w:ascii="宋体" w:eastAsia="宋体" w:hAnsi="宋体" w:cs="宋体"/>
                <w:sz w:val="22"/>
                <w:szCs w:val="22"/>
              </w:rPr>
              <w:t>总营业收入</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53,152,900.00</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37,152,700.00</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49,354,600.00</w:t>
            </w:r>
          </w:p>
        </w:tc>
        <w:tc>
          <w:tcPr>
            <w:tcW w:w="12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2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r>
      <w:tr w:rsidR="003A5CE8">
        <w:trPr>
          <w:trHeight w:val="365"/>
        </w:trPr>
        <w:tc>
          <w:tcPr>
            <w:tcW w:w="12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rPr>
                <w:rFonts w:hint="default"/>
              </w:rPr>
            </w:pPr>
            <w:r>
              <w:rPr>
                <w:rFonts w:ascii="宋体" w:eastAsia="宋体" w:hAnsi="宋体" w:cs="宋体"/>
                <w:sz w:val="22"/>
                <w:szCs w:val="22"/>
              </w:rPr>
              <w:t>净利润</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7,132,600.00</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-8,378,400.00</w:t>
            </w:r>
          </w:p>
        </w:tc>
        <w:tc>
          <w:tcPr>
            <w:tcW w:w="14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1,244,500.00</w:t>
            </w:r>
          </w:p>
        </w:tc>
        <w:tc>
          <w:tcPr>
            <w:tcW w:w="12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c>
          <w:tcPr>
            <w:tcW w:w="129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3A5CE8" w:rsidRDefault="007038D7">
            <w:pPr>
              <w:pStyle w:val="B"/>
              <w:jc w:val="right"/>
              <w:rPr>
                <w:rFonts w:hint="default"/>
              </w:rPr>
            </w:pPr>
            <w:r>
              <w:rPr>
                <w:rFonts w:ascii="宋体" w:eastAsia="宋体" w:hAnsi="宋体" w:cs="宋体"/>
                <w:sz w:val="22"/>
                <w:szCs w:val="22"/>
                <w:lang w:val="en-US"/>
              </w:rPr>
              <w:t>--</w:t>
            </w:r>
          </w:p>
        </w:tc>
      </w:tr>
    </w:tbl>
    <w:p w:rsidR="003A5CE8" w:rsidRDefault="003A5CE8">
      <w:pPr>
        <w:pStyle w:val="B"/>
        <w:widowControl w:val="0"/>
        <w:rPr>
          <w:rFonts w:ascii="宋体" w:eastAsia="宋体" w:hAnsi="宋体" w:cs="宋体" w:hint="default"/>
          <w:sz w:val="22"/>
          <w:szCs w:val="22"/>
        </w:rPr>
      </w:pPr>
    </w:p>
    <w:p w:rsidR="003A5CE8" w:rsidRDefault="003A5CE8">
      <w:pPr>
        <w:pStyle w:val="B"/>
        <w:widowControl w:val="0"/>
        <w:rPr>
          <w:rFonts w:ascii="宋体" w:eastAsia="宋体" w:hAnsi="宋体" w:cs="宋体" w:hint="default"/>
          <w:sz w:val="22"/>
          <w:szCs w:val="22"/>
        </w:rPr>
      </w:pPr>
    </w:p>
    <w:p w:rsidR="003A5CE8" w:rsidRDefault="003A5CE8">
      <w:pPr>
        <w:pStyle w:val="B"/>
        <w:widowControl w:val="0"/>
        <w:rPr>
          <w:rFonts w:ascii="宋体" w:eastAsia="宋体" w:hAnsi="宋体" w:cs="宋体" w:hint="default"/>
          <w:sz w:val="22"/>
          <w:szCs w:val="22"/>
        </w:rPr>
      </w:pPr>
    </w:p>
    <w:p w:rsidR="003A5CE8" w:rsidRDefault="003A5CE8">
      <w:pPr>
        <w:pStyle w:val="B"/>
        <w:rPr>
          <w:rFonts w:ascii="宋体" w:eastAsia="宋体" w:hAnsi="宋体" w:cs="宋体" w:hint="default"/>
          <w:sz w:val="22"/>
          <w:szCs w:val="22"/>
        </w:rPr>
      </w:pPr>
    </w:p>
    <w:p w:rsidR="003A5CE8" w:rsidRDefault="007038D7">
      <w:pPr>
        <w:pStyle w:val="B"/>
        <w:widowControl w:val="0"/>
        <w:rPr>
          <w:rFonts w:ascii="宋体" w:eastAsia="宋体" w:hAnsi="宋体" w:cs="宋体" w:hint="default"/>
          <w:sz w:val="22"/>
          <w:szCs w:val="22"/>
        </w:rPr>
      </w:pPr>
      <w:r>
        <w:rPr>
          <w:rFonts w:ascii="宋体" w:eastAsia="宋体" w:hAnsi="宋体" w:cs="宋体"/>
          <w:sz w:val="22"/>
          <w:szCs w:val="22"/>
        </w:rPr>
        <w:t xml:space="preserve">指标摘要 </w:t>
      </w:r>
      <w:r>
        <w:rPr>
          <w:rFonts w:ascii="宋体" w:eastAsia="宋体" w:hAnsi="宋体" w:cs="宋体"/>
          <w:sz w:val="22"/>
          <w:szCs w:val="22"/>
          <w:lang w:val="en-US"/>
        </w:rPr>
        <w:t xml:space="preserve">(%) </w:t>
      </w:r>
    </w:p>
    <w:tbl>
      <w:tblPr>
        <w:tblStyle w:val="TableNormal"/>
        <w:tblW w:w="8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94"/>
        <w:gridCol w:w="1394"/>
        <w:gridCol w:w="1393"/>
        <w:gridCol w:w="1392"/>
        <w:gridCol w:w="1393"/>
        <w:gridCol w:w="1393"/>
      </w:tblGrid>
      <w:tr w:rsidR="003A5CE8">
        <w:trPr>
          <w:trHeight w:val="305"/>
        </w:trPr>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3A5CE8"/>
        </w:tc>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2014-12-31</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2013-12-31</w:t>
            </w:r>
          </w:p>
        </w:tc>
        <w:tc>
          <w:tcPr>
            <w:tcW w:w="1392"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2012-12-31</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2011-12-31</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2010-12-31</w:t>
            </w:r>
          </w:p>
        </w:tc>
      </w:tr>
      <w:tr w:rsidR="003A5CE8">
        <w:trPr>
          <w:trHeight w:val="365"/>
        </w:trPr>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rPr>
              <w:t>资产负债率</w:t>
            </w:r>
          </w:p>
        </w:tc>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0.68</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0.76</w:t>
            </w:r>
          </w:p>
        </w:tc>
        <w:tc>
          <w:tcPr>
            <w:tcW w:w="1392"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0.77</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r>
      <w:tr w:rsidR="003A5CE8">
        <w:trPr>
          <w:trHeight w:val="685"/>
        </w:trPr>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rPr>
              <w:t>总资产回报率</w:t>
            </w:r>
          </w:p>
        </w:tc>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0.09</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-0.11</w:t>
            </w:r>
          </w:p>
        </w:tc>
        <w:tc>
          <w:tcPr>
            <w:tcW w:w="1392"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0.01</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r>
      <w:tr w:rsidR="003A5CE8">
        <w:trPr>
          <w:trHeight w:val="365"/>
        </w:trPr>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rPr>
              <w:t>毛利率</w:t>
            </w:r>
          </w:p>
        </w:tc>
        <w:tc>
          <w:tcPr>
            <w:tcW w:w="1394"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c>
          <w:tcPr>
            <w:tcW w:w="1392"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c>
          <w:tcPr>
            <w:tcW w:w="1393" w:type="dxa"/>
            <w:tcBorders>
              <w:top w:val="dashed" w:sz="6" w:space="0" w:color="E3E3E3"/>
              <w:left w:val="dashed" w:sz="6" w:space="0" w:color="E3E3E3"/>
              <w:bottom w:val="dashed" w:sz="6" w:space="0" w:color="E3E3E3"/>
              <w:right w:val="dashed" w:sz="6" w:space="0" w:color="E3E3E3"/>
            </w:tcBorders>
            <w:shd w:val="clear" w:color="auto" w:fill="F5F5F5"/>
            <w:tcMar>
              <w:top w:w="80" w:type="dxa"/>
              <w:left w:w="80" w:type="dxa"/>
              <w:bottom w:w="80" w:type="dxa"/>
              <w:right w:w="80" w:type="dxa"/>
            </w:tcMar>
            <w:vAlign w:val="center"/>
          </w:tcPr>
          <w:p w:rsidR="003A5CE8" w:rsidRDefault="007038D7">
            <w:pPr>
              <w:pStyle w:val="B"/>
              <w:jc w:val="center"/>
              <w:rPr>
                <w:rFonts w:hint="default"/>
              </w:rPr>
            </w:pPr>
            <w:r>
              <w:rPr>
                <w:rFonts w:ascii="宋体" w:eastAsia="宋体" w:hAnsi="宋体" w:cs="宋体"/>
                <w:sz w:val="22"/>
                <w:szCs w:val="22"/>
                <w:lang w:val="en-US"/>
              </w:rPr>
              <w:t>--</w:t>
            </w:r>
          </w:p>
        </w:tc>
      </w:tr>
    </w:tbl>
    <w:p w:rsidR="003A5CE8" w:rsidRDefault="003A5CE8">
      <w:pPr>
        <w:pStyle w:val="B"/>
        <w:widowControl w:val="0"/>
        <w:rPr>
          <w:rFonts w:ascii="宋体" w:eastAsia="宋体" w:hAnsi="宋体" w:cs="宋体" w:hint="default"/>
          <w:sz w:val="22"/>
          <w:szCs w:val="22"/>
        </w:rPr>
      </w:pPr>
    </w:p>
    <w:p w:rsidR="003A5CE8" w:rsidRDefault="003A5CE8">
      <w:pPr>
        <w:pStyle w:val="B"/>
        <w:widowControl w:val="0"/>
        <w:rPr>
          <w:rFonts w:ascii="宋体" w:eastAsia="宋体" w:hAnsi="宋体" w:cs="宋体" w:hint="default"/>
          <w:sz w:val="22"/>
          <w:szCs w:val="22"/>
        </w:rPr>
      </w:pPr>
    </w:p>
    <w:p w:rsidR="003A5CE8" w:rsidRDefault="003A5CE8">
      <w:pPr>
        <w:pStyle w:val="B"/>
        <w:widowControl w:val="0"/>
        <w:rPr>
          <w:rFonts w:ascii="宋体" w:eastAsia="宋体" w:hAnsi="宋体" w:cs="宋体" w:hint="default"/>
          <w:sz w:val="22"/>
          <w:szCs w:val="22"/>
        </w:rPr>
      </w:pPr>
    </w:p>
    <w:p w:rsidR="003A5CE8" w:rsidRDefault="003A5CE8">
      <w:pPr>
        <w:pStyle w:val="B"/>
        <w:rPr>
          <w:rFonts w:ascii="宋体" w:eastAsia="宋体" w:hAnsi="宋体" w:cs="宋体" w:hint="default"/>
          <w:sz w:val="22"/>
          <w:szCs w:val="22"/>
        </w:rPr>
      </w:pPr>
    </w:p>
    <w:p w:rsidR="003A5CE8" w:rsidRDefault="003A5CE8">
      <w:pPr>
        <w:pStyle w:val="A5"/>
        <w:rPr>
          <w:rFonts w:ascii="宋体" w:eastAsia="宋体" w:hAnsi="宋体" w:cs="宋体"/>
          <w:kern w:val="0"/>
          <w:sz w:val="22"/>
          <w:szCs w:val="22"/>
          <w:lang w:val="en-US"/>
        </w:rPr>
      </w:pPr>
    </w:p>
    <w:p w:rsidR="003A5CE8" w:rsidRDefault="003A5CE8">
      <w:pPr>
        <w:pStyle w:val="A5"/>
        <w:rPr>
          <w:rFonts w:ascii="宋体" w:eastAsia="宋体" w:hAnsi="宋体" w:cs="宋体"/>
          <w:kern w:val="0"/>
          <w:sz w:val="22"/>
          <w:szCs w:val="22"/>
          <w:lang w:val="en-US"/>
        </w:rPr>
      </w:pPr>
    </w:p>
    <w:p w:rsidR="003A5CE8" w:rsidRDefault="007038D7">
      <w:pPr>
        <w:pStyle w:val="A5"/>
        <w:rPr>
          <w:rFonts w:ascii="宋体" w:eastAsia="宋体" w:hAnsi="宋体" w:cs="宋体"/>
          <w:kern w:val="0"/>
          <w:sz w:val="22"/>
          <w:szCs w:val="22"/>
          <w:lang w:val="en-US"/>
        </w:rPr>
      </w:pPr>
      <w:r>
        <w:rPr>
          <w:rFonts w:ascii="宋体" w:eastAsia="宋体" w:hAnsi="宋体" w:cs="宋体"/>
          <w:kern w:val="0"/>
          <w:sz w:val="22"/>
          <w:szCs w:val="22"/>
          <w:lang w:val="en-US"/>
        </w:rPr>
        <w:t>&lt;</w:t>
      </w:r>
      <w:r>
        <w:rPr>
          <w:rFonts w:ascii="宋体" w:eastAsia="宋体" w:hAnsi="宋体" w:cs="宋体"/>
          <w:kern w:val="0"/>
          <w:sz w:val="22"/>
          <w:szCs w:val="22"/>
        </w:rPr>
        <w:t>五</w:t>
      </w:r>
      <w:r>
        <w:rPr>
          <w:rFonts w:ascii="宋体" w:eastAsia="宋体" w:hAnsi="宋体" w:cs="宋体"/>
          <w:kern w:val="0"/>
          <w:sz w:val="22"/>
          <w:szCs w:val="22"/>
          <w:lang w:val="en-US"/>
        </w:rPr>
        <w:t>&gt;</w:t>
      </w:r>
      <w:r>
        <w:rPr>
          <w:rFonts w:ascii="宋体" w:eastAsia="宋体" w:hAnsi="宋体" w:cs="宋体"/>
          <w:kern w:val="0"/>
          <w:sz w:val="22"/>
          <w:szCs w:val="22"/>
        </w:rPr>
        <w:t>收购公告简版</w:t>
      </w:r>
    </w:p>
    <w:p w:rsidR="003A5CE8" w:rsidRDefault="003A5CE8">
      <w:pPr>
        <w:pStyle w:val="B"/>
        <w:spacing w:after="240"/>
        <w:rPr>
          <w:rFonts w:ascii="Times" w:eastAsia="Times" w:hAnsi="Times" w:cs="Times" w:hint="default"/>
          <w:sz w:val="22"/>
          <w:szCs w:val="22"/>
        </w:rPr>
      </w:pP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lastRenderedPageBreak/>
        <w:t>证券代码</w:t>
      </w:r>
      <w:r>
        <w:rPr>
          <w:rFonts w:ascii="Times"/>
          <w:sz w:val="22"/>
          <w:szCs w:val="22"/>
          <w:lang w:val="en-US"/>
        </w:rPr>
        <w:t xml:space="preserve">:000607 </w:t>
      </w:r>
      <w:r>
        <w:rPr>
          <w:rFonts w:ascii="Cambria" w:eastAsia="Cambria" w:hAnsi="Cambria" w:cs="Cambria"/>
          <w:sz w:val="22"/>
          <w:szCs w:val="22"/>
        </w:rPr>
        <w:t>证券简称</w:t>
      </w:r>
      <w:r>
        <w:rPr>
          <w:rFonts w:ascii="Times"/>
          <w:sz w:val="22"/>
          <w:szCs w:val="22"/>
          <w:lang w:val="en-US"/>
        </w:rPr>
        <w:t>:</w:t>
      </w:r>
      <w:r>
        <w:rPr>
          <w:rFonts w:ascii="Cambria" w:eastAsia="Cambria" w:hAnsi="Cambria" w:cs="Cambria"/>
          <w:sz w:val="22"/>
          <w:szCs w:val="22"/>
        </w:rPr>
        <w:t>华媒控股</w:t>
      </w:r>
      <w:r>
        <w:rPr>
          <w:rFonts w:ascii="Times"/>
          <w:sz w:val="22"/>
          <w:szCs w:val="22"/>
          <w:lang w:val="en-US"/>
        </w:rPr>
        <w:t xml:space="preserve"> </w:t>
      </w:r>
      <w:r>
        <w:rPr>
          <w:rFonts w:ascii="Cambria" w:eastAsia="Cambria" w:hAnsi="Cambria" w:cs="Cambria"/>
          <w:sz w:val="22"/>
          <w:szCs w:val="22"/>
        </w:rPr>
        <w:t>公告编号</w:t>
      </w:r>
      <w:r>
        <w:rPr>
          <w:rFonts w:ascii="Times"/>
          <w:sz w:val="22"/>
          <w:szCs w:val="22"/>
          <w:lang w:val="en-US"/>
        </w:rPr>
        <w:t xml:space="preserve">:2015-059 </w:t>
      </w:r>
    </w:p>
    <w:p w:rsidR="003A5CE8" w:rsidRDefault="007038D7">
      <w:pPr>
        <w:pStyle w:val="B"/>
        <w:spacing w:after="240"/>
        <w:jc w:val="center"/>
        <w:rPr>
          <w:rFonts w:ascii="Times" w:eastAsia="Times" w:hAnsi="Times" w:cs="Times" w:hint="default"/>
          <w:b/>
          <w:bCs/>
          <w:sz w:val="22"/>
          <w:szCs w:val="22"/>
        </w:rPr>
      </w:pPr>
      <w:r>
        <w:rPr>
          <w:rFonts w:ascii="Cambria" w:eastAsia="Cambria" w:hAnsi="Cambria" w:cs="Cambria"/>
          <w:b/>
          <w:bCs/>
          <w:sz w:val="22"/>
          <w:szCs w:val="22"/>
        </w:rPr>
        <w:t>浙江华媒控股股份有限公司</w:t>
      </w:r>
      <w:r>
        <w:rPr>
          <w:rFonts w:ascii="Times"/>
          <w:b/>
          <w:bCs/>
          <w:sz w:val="22"/>
          <w:szCs w:val="22"/>
          <w:lang w:val="en-US"/>
        </w:rPr>
        <w:t xml:space="preserve"> </w:t>
      </w:r>
      <w:r>
        <w:rPr>
          <w:rFonts w:ascii="Cambria" w:eastAsia="Cambria" w:hAnsi="Cambria" w:cs="Cambria"/>
          <w:b/>
          <w:bCs/>
          <w:sz w:val="22"/>
          <w:szCs w:val="22"/>
        </w:rPr>
        <w:t>关于收购北京精典博维文化传媒有限公司</w:t>
      </w:r>
      <w:r>
        <w:rPr>
          <w:rFonts w:ascii="Times"/>
          <w:b/>
          <w:bCs/>
          <w:sz w:val="22"/>
          <w:szCs w:val="22"/>
          <w:lang w:val="en-US"/>
        </w:rPr>
        <w:t xml:space="preserve"> 35%</w:t>
      </w:r>
      <w:r>
        <w:rPr>
          <w:rFonts w:ascii="Cambria" w:eastAsia="Cambria" w:hAnsi="Cambria" w:cs="Cambria"/>
          <w:b/>
          <w:bCs/>
          <w:sz w:val="22"/>
          <w:szCs w:val="22"/>
        </w:rPr>
        <w:t>股权的公告</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本公司及董事会全体成员保证信息披露的内容真实、准确和完整</w:t>
      </w:r>
      <w:r>
        <w:rPr>
          <w:rFonts w:ascii="Times"/>
          <w:sz w:val="22"/>
          <w:szCs w:val="22"/>
          <w:lang w:val="en-US"/>
        </w:rPr>
        <w:t>,</w:t>
      </w:r>
      <w:r>
        <w:rPr>
          <w:rFonts w:ascii="Cambria" w:eastAsia="Cambria" w:hAnsi="Cambria" w:cs="Cambria"/>
          <w:sz w:val="22"/>
          <w:szCs w:val="22"/>
        </w:rPr>
        <w:t>没有虚</w:t>
      </w:r>
      <w:r>
        <w:rPr>
          <w:rFonts w:ascii="Times"/>
          <w:sz w:val="22"/>
          <w:szCs w:val="22"/>
          <w:lang w:val="en-US"/>
        </w:rPr>
        <w:t xml:space="preserve"> </w:t>
      </w:r>
      <w:r>
        <w:rPr>
          <w:rFonts w:ascii="Cambria" w:eastAsia="Cambria" w:hAnsi="Cambria" w:cs="Cambria"/>
          <w:sz w:val="22"/>
          <w:szCs w:val="22"/>
        </w:rPr>
        <w:t>假记载、误导性陈述或者重大遗漏。</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一、交易概述</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1</w:t>
      </w:r>
      <w:r>
        <w:rPr>
          <w:rFonts w:ascii="Cambria" w:eastAsia="Cambria" w:hAnsi="Cambria" w:cs="Cambria"/>
          <w:sz w:val="22"/>
          <w:szCs w:val="22"/>
        </w:rPr>
        <w:t>、交易的基本情况</w:t>
      </w:r>
      <w:r>
        <w:rPr>
          <w:rFonts w:ascii="Times"/>
          <w:sz w:val="22"/>
          <w:szCs w:val="22"/>
          <w:lang w:val="en-US"/>
        </w:rPr>
        <w:t xml:space="preserve"> </w:t>
      </w:r>
      <w:r>
        <w:rPr>
          <w:rFonts w:ascii="Cambria" w:eastAsia="Cambria" w:hAnsi="Cambria" w:cs="Cambria"/>
          <w:sz w:val="22"/>
          <w:szCs w:val="22"/>
        </w:rPr>
        <w:t>本公司拟与陈黎明、吴梅林、曹金玲、北京瑞益创享文化投资中心</w:t>
      </w:r>
      <w:r>
        <w:rPr>
          <w:rFonts w:ascii="Times"/>
          <w:sz w:val="22"/>
          <w:szCs w:val="22"/>
          <w:lang w:val="en-US"/>
        </w:rPr>
        <w:t>(</w:t>
      </w:r>
      <w:r>
        <w:rPr>
          <w:rFonts w:ascii="Cambria" w:eastAsia="Cambria" w:hAnsi="Cambria" w:cs="Cambria"/>
          <w:sz w:val="22"/>
          <w:szCs w:val="22"/>
        </w:rPr>
        <w:t>有限合</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伙</w:t>
      </w:r>
      <w:r>
        <w:rPr>
          <w:rFonts w:ascii="Times"/>
          <w:sz w:val="22"/>
          <w:szCs w:val="22"/>
          <w:lang w:val="en-US"/>
        </w:rPr>
        <w:t>)</w:t>
      </w:r>
      <w:r>
        <w:rPr>
          <w:rFonts w:ascii="Cambria" w:eastAsia="Cambria" w:hAnsi="Cambria" w:cs="Cambria"/>
          <w:sz w:val="22"/>
          <w:szCs w:val="22"/>
        </w:rPr>
        <w:t>、钱淼根、杭州文广创业投资有限公司、马淑清、北京博大会成投资管理中</w:t>
      </w:r>
      <w:r>
        <w:rPr>
          <w:rFonts w:ascii="Times"/>
          <w:sz w:val="22"/>
          <w:szCs w:val="22"/>
          <w:lang w:val="en-US"/>
        </w:rPr>
        <w:t xml:space="preserve"> </w:t>
      </w:r>
      <w:r>
        <w:rPr>
          <w:rFonts w:ascii="Cambria" w:eastAsia="Cambria" w:hAnsi="Cambria" w:cs="Cambria"/>
          <w:sz w:val="22"/>
          <w:szCs w:val="22"/>
        </w:rPr>
        <w:t>心</w:t>
      </w:r>
      <w:r>
        <w:rPr>
          <w:rFonts w:ascii="Times"/>
          <w:sz w:val="22"/>
          <w:szCs w:val="22"/>
          <w:lang w:val="en-US"/>
        </w:rPr>
        <w:t>(</w:t>
      </w:r>
      <w:r>
        <w:rPr>
          <w:rFonts w:ascii="Cambria" w:eastAsia="Cambria" w:hAnsi="Cambria" w:cs="Cambria"/>
          <w:sz w:val="22"/>
          <w:szCs w:val="22"/>
        </w:rPr>
        <w:t>有限合伙</w:t>
      </w:r>
      <w:r>
        <w:rPr>
          <w:rFonts w:ascii="Times"/>
          <w:sz w:val="22"/>
          <w:szCs w:val="22"/>
          <w:lang w:val="en-US"/>
        </w:rPr>
        <w:t>)</w:t>
      </w:r>
      <w:r>
        <w:rPr>
          <w:rFonts w:ascii="Cambria" w:eastAsia="Cambria" w:hAnsi="Cambria" w:cs="Cambria"/>
          <w:sz w:val="22"/>
          <w:szCs w:val="22"/>
        </w:rPr>
        <w:t>、潘建文、徐平华、章剑、赵达峰、北京百团百利创业投资中心</w:t>
      </w:r>
      <w:r>
        <w:rPr>
          <w:rFonts w:ascii="Times"/>
          <w:sz w:val="22"/>
          <w:szCs w:val="22"/>
          <w:lang w:val="en-US"/>
        </w:rPr>
        <w:t xml:space="preserve"> (</w:t>
      </w:r>
      <w:r>
        <w:rPr>
          <w:rFonts w:ascii="Cambria" w:eastAsia="Cambria" w:hAnsi="Cambria" w:cs="Cambria"/>
          <w:sz w:val="22"/>
          <w:szCs w:val="22"/>
        </w:rPr>
        <w:t>有限合伙</w:t>
      </w:r>
      <w:r>
        <w:rPr>
          <w:rFonts w:ascii="Times"/>
          <w:sz w:val="22"/>
          <w:szCs w:val="22"/>
          <w:lang w:val="en-US"/>
        </w:rPr>
        <w:t>)</w:t>
      </w:r>
      <w:r>
        <w:rPr>
          <w:rFonts w:ascii="Cambria" w:eastAsia="Cambria" w:hAnsi="Cambria" w:cs="Cambria"/>
          <w:sz w:val="22"/>
          <w:szCs w:val="22"/>
        </w:rPr>
        <w:t>、北京科桥成长创业投资中心</w:t>
      </w:r>
      <w:r>
        <w:rPr>
          <w:rFonts w:ascii="Times"/>
          <w:sz w:val="22"/>
          <w:szCs w:val="22"/>
          <w:lang w:val="en-US"/>
        </w:rPr>
        <w:t>(</w:t>
      </w:r>
      <w:r>
        <w:rPr>
          <w:rFonts w:ascii="Cambria" w:eastAsia="Cambria" w:hAnsi="Cambria" w:cs="Cambria"/>
          <w:sz w:val="22"/>
          <w:szCs w:val="22"/>
        </w:rPr>
        <w:t>有限合伙</w:t>
      </w:r>
      <w:r>
        <w:rPr>
          <w:rFonts w:ascii="Times"/>
          <w:sz w:val="22"/>
          <w:szCs w:val="22"/>
          <w:lang w:val="en-US"/>
        </w:rPr>
        <w:t>)</w:t>
      </w:r>
      <w:r>
        <w:rPr>
          <w:rFonts w:ascii="Cambria" w:eastAsia="Cambria" w:hAnsi="Cambria" w:cs="Cambria"/>
          <w:sz w:val="22"/>
          <w:szCs w:val="22"/>
        </w:rPr>
        <w:t>、北京唐实宏祥投资管理</w:t>
      </w:r>
      <w:r>
        <w:rPr>
          <w:rFonts w:ascii="Times"/>
          <w:sz w:val="22"/>
          <w:szCs w:val="22"/>
          <w:lang w:val="en-US"/>
        </w:rPr>
        <w:t xml:space="preserve"> </w:t>
      </w:r>
      <w:r>
        <w:rPr>
          <w:rFonts w:ascii="Cambria" w:eastAsia="Cambria" w:hAnsi="Cambria" w:cs="Cambria"/>
          <w:sz w:val="22"/>
          <w:szCs w:val="22"/>
        </w:rPr>
        <w:t>中心</w:t>
      </w:r>
      <w:r>
        <w:rPr>
          <w:rFonts w:ascii="Times"/>
          <w:sz w:val="22"/>
          <w:szCs w:val="22"/>
          <w:lang w:val="en-US"/>
        </w:rPr>
        <w:t>(</w:t>
      </w:r>
      <w:r>
        <w:rPr>
          <w:rFonts w:ascii="Cambria" w:eastAsia="Cambria" w:hAnsi="Cambria" w:cs="Cambria"/>
          <w:sz w:val="22"/>
          <w:szCs w:val="22"/>
        </w:rPr>
        <w:t>有限合伙</w:t>
      </w:r>
      <w:r>
        <w:rPr>
          <w:rFonts w:ascii="Times"/>
          <w:sz w:val="22"/>
          <w:szCs w:val="22"/>
          <w:lang w:val="en-US"/>
        </w:rPr>
        <w:t>)</w:t>
      </w:r>
      <w:r>
        <w:rPr>
          <w:rFonts w:ascii="Cambria" w:eastAsia="Cambria" w:hAnsi="Cambria" w:cs="Cambria"/>
          <w:sz w:val="22"/>
          <w:szCs w:val="22"/>
        </w:rPr>
        <w:t>、山东润邦科技投资有限公司等</w:t>
      </w:r>
      <w:r>
        <w:rPr>
          <w:rFonts w:ascii="Times"/>
          <w:sz w:val="22"/>
          <w:szCs w:val="22"/>
          <w:lang w:val="en-US"/>
        </w:rPr>
        <w:t xml:space="preserve"> </w:t>
      </w:r>
      <w:r>
        <w:rPr>
          <w:rFonts w:ascii="Times New Roman"/>
          <w:sz w:val="22"/>
          <w:szCs w:val="22"/>
          <w:lang w:val="en-US"/>
        </w:rPr>
        <w:t xml:space="preserve">7 </w:t>
      </w:r>
      <w:r>
        <w:rPr>
          <w:rFonts w:ascii="Cambria" w:eastAsia="Cambria" w:hAnsi="Cambria" w:cs="Cambria"/>
          <w:sz w:val="22"/>
          <w:szCs w:val="22"/>
        </w:rPr>
        <w:t>位法人和</w:t>
      </w:r>
      <w:r>
        <w:rPr>
          <w:rFonts w:ascii="Times"/>
          <w:sz w:val="22"/>
          <w:szCs w:val="22"/>
          <w:lang w:val="en-US"/>
        </w:rPr>
        <w:t xml:space="preserve"> </w:t>
      </w:r>
      <w:r>
        <w:rPr>
          <w:rFonts w:ascii="Times New Roman"/>
          <w:sz w:val="22"/>
          <w:szCs w:val="22"/>
          <w:lang w:val="en-US"/>
        </w:rPr>
        <w:t xml:space="preserve">9 </w:t>
      </w:r>
      <w:r>
        <w:rPr>
          <w:rFonts w:ascii="Cambria" w:eastAsia="Cambria" w:hAnsi="Cambria" w:cs="Cambria"/>
          <w:sz w:val="22"/>
          <w:szCs w:val="22"/>
        </w:rPr>
        <w:t>位自然人签署《北</w:t>
      </w:r>
      <w:r>
        <w:rPr>
          <w:rFonts w:ascii="Times"/>
          <w:sz w:val="22"/>
          <w:szCs w:val="22"/>
          <w:lang w:val="en-US"/>
        </w:rPr>
        <w:t xml:space="preserve"> </w:t>
      </w:r>
      <w:r>
        <w:rPr>
          <w:rFonts w:ascii="Cambria" w:eastAsia="Cambria" w:hAnsi="Cambria" w:cs="Cambria"/>
          <w:sz w:val="22"/>
          <w:szCs w:val="22"/>
        </w:rPr>
        <w:t>京精典博维文化传媒有限公司股权转让协议》</w:t>
      </w:r>
      <w:r>
        <w:rPr>
          <w:rFonts w:ascii="Times"/>
          <w:sz w:val="22"/>
          <w:szCs w:val="22"/>
          <w:lang w:val="en-US"/>
        </w:rPr>
        <w:t>,</w:t>
      </w:r>
      <w:r>
        <w:rPr>
          <w:rFonts w:ascii="Cambria" w:eastAsia="Cambria" w:hAnsi="Cambria" w:cs="Cambria"/>
          <w:sz w:val="22"/>
          <w:szCs w:val="22"/>
        </w:rPr>
        <w:t>受让上述法人和自然人持有的北</w:t>
      </w:r>
      <w:r>
        <w:rPr>
          <w:rFonts w:ascii="Times"/>
          <w:sz w:val="22"/>
          <w:szCs w:val="22"/>
          <w:lang w:val="en-US"/>
        </w:rPr>
        <w:t xml:space="preserve"> </w:t>
      </w:r>
      <w:r>
        <w:rPr>
          <w:rFonts w:ascii="Cambria" w:eastAsia="Cambria" w:hAnsi="Cambria" w:cs="Cambria"/>
          <w:sz w:val="22"/>
          <w:szCs w:val="22"/>
        </w:rPr>
        <w:t>京精典博维文化传媒有限公司</w:t>
      </w:r>
      <w:r>
        <w:rPr>
          <w:rFonts w:ascii="Times"/>
          <w:sz w:val="22"/>
          <w:szCs w:val="22"/>
          <w:lang w:val="en-US"/>
        </w:rPr>
        <w:t>(</w:t>
      </w:r>
      <w:r>
        <w:rPr>
          <w:rFonts w:ascii="Cambria" w:eastAsia="Cambria" w:hAnsi="Cambria" w:cs="Cambria"/>
          <w:sz w:val="22"/>
          <w:szCs w:val="22"/>
        </w:rPr>
        <w:t>简称</w:t>
      </w:r>
      <w:r>
        <w:rPr>
          <w:rFonts w:ascii="Times"/>
          <w:sz w:val="22"/>
          <w:szCs w:val="22"/>
          <w:lang w:val="en-US"/>
        </w:rPr>
        <w:t>:</w:t>
      </w:r>
      <w:r>
        <w:rPr>
          <w:rFonts w:ascii="Cambria" w:eastAsia="Cambria" w:hAnsi="Cambria" w:cs="Cambria"/>
          <w:sz w:val="22"/>
          <w:szCs w:val="22"/>
        </w:rPr>
        <w:t>精典博维</w:t>
      </w:r>
      <w:r>
        <w:rPr>
          <w:rFonts w:ascii="Times"/>
          <w:sz w:val="22"/>
          <w:szCs w:val="22"/>
          <w:lang w:val="en-US"/>
        </w:rPr>
        <w:t>)</w:t>
      </w:r>
      <w:r>
        <w:rPr>
          <w:rFonts w:ascii="Times New Roman"/>
          <w:sz w:val="22"/>
          <w:szCs w:val="22"/>
          <w:lang w:val="en-US"/>
        </w:rPr>
        <w:t>87.50%</w:t>
      </w:r>
      <w:r>
        <w:rPr>
          <w:rFonts w:ascii="Cambria" w:eastAsia="Cambria" w:hAnsi="Cambria" w:cs="Cambria"/>
          <w:sz w:val="22"/>
          <w:szCs w:val="22"/>
        </w:rPr>
        <w:t>股权。该股权转让分</w:t>
      </w:r>
      <w:r>
        <w:rPr>
          <w:rFonts w:ascii="Times"/>
          <w:sz w:val="22"/>
          <w:szCs w:val="22"/>
          <w:lang w:val="en-US"/>
        </w:rPr>
        <w:t xml:space="preserve"> </w:t>
      </w:r>
      <w:r>
        <w:rPr>
          <w:rFonts w:ascii="Cambria" w:eastAsia="Cambria" w:hAnsi="Cambria" w:cs="Cambria"/>
          <w:sz w:val="22"/>
          <w:szCs w:val="22"/>
        </w:rPr>
        <w:t>三次进行</w:t>
      </w:r>
      <w:r>
        <w:rPr>
          <w:rFonts w:ascii="Times"/>
          <w:sz w:val="22"/>
          <w:szCs w:val="22"/>
          <w:lang w:val="en-US"/>
        </w:rPr>
        <w:t>,</w:t>
      </w:r>
      <w:r>
        <w:rPr>
          <w:rFonts w:ascii="Cambria" w:eastAsia="Cambria" w:hAnsi="Cambria" w:cs="Cambria"/>
          <w:sz w:val="22"/>
          <w:szCs w:val="22"/>
        </w:rPr>
        <w:t>其中第一次转让</w:t>
      </w:r>
      <w:r>
        <w:rPr>
          <w:rFonts w:ascii="Times"/>
          <w:sz w:val="22"/>
          <w:szCs w:val="22"/>
          <w:lang w:val="en-US"/>
        </w:rPr>
        <w:t xml:space="preserve"> </w:t>
      </w:r>
      <w:r>
        <w:rPr>
          <w:rFonts w:ascii="Times New Roman"/>
          <w:sz w:val="22"/>
          <w:szCs w:val="22"/>
          <w:lang w:val="en-US"/>
        </w:rPr>
        <w:t>35%</w:t>
      </w:r>
      <w:r>
        <w:rPr>
          <w:rFonts w:ascii="Times"/>
          <w:sz w:val="22"/>
          <w:szCs w:val="22"/>
          <w:lang w:val="en-US"/>
        </w:rPr>
        <w:t>,</w:t>
      </w:r>
      <w:r>
        <w:rPr>
          <w:rFonts w:ascii="Cambria" w:eastAsia="Cambria" w:hAnsi="Cambria" w:cs="Cambria"/>
          <w:sz w:val="22"/>
          <w:szCs w:val="22"/>
        </w:rPr>
        <w:t>第二次转让</w:t>
      </w:r>
      <w:r>
        <w:rPr>
          <w:rFonts w:ascii="Times"/>
          <w:sz w:val="22"/>
          <w:szCs w:val="22"/>
          <w:lang w:val="en-US"/>
        </w:rPr>
        <w:t xml:space="preserve"> </w:t>
      </w:r>
      <w:r>
        <w:rPr>
          <w:rFonts w:ascii="Times New Roman"/>
          <w:sz w:val="22"/>
          <w:szCs w:val="22"/>
          <w:lang w:val="en-US"/>
        </w:rPr>
        <w:t>35%</w:t>
      </w:r>
      <w:r>
        <w:rPr>
          <w:rFonts w:ascii="Times"/>
          <w:sz w:val="22"/>
          <w:szCs w:val="22"/>
          <w:lang w:val="en-US"/>
        </w:rPr>
        <w:t>,</w:t>
      </w:r>
      <w:r>
        <w:rPr>
          <w:rFonts w:ascii="Cambria" w:eastAsia="Cambria" w:hAnsi="Cambria" w:cs="Cambria"/>
          <w:sz w:val="22"/>
          <w:szCs w:val="22"/>
        </w:rPr>
        <w:t>第三次转让</w:t>
      </w:r>
      <w:r>
        <w:rPr>
          <w:rFonts w:ascii="Times"/>
          <w:sz w:val="22"/>
          <w:szCs w:val="22"/>
          <w:lang w:val="en-US"/>
        </w:rPr>
        <w:t xml:space="preserve"> </w:t>
      </w:r>
      <w:r>
        <w:rPr>
          <w:rFonts w:ascii="Times New Roman"/>
          <w:sz w:val="22"/>
          <w:szCs w:val="22"/>
          <w:lang w:val="en-US"/>
        </w:rPr>
        <w:t>17.5%</w:t>
      </w:r>
      <w:r>
        <w:rPr>
          <w:rFonts w:ascii="Cambria" w:eastAsia="Cambria" w:hAnsi="Cambria" w:cs="Cambria"/>
          <w:sz w:val="22"/>
          <w:szCs w:val="22"/>
        </w:rPr>
        <w:t>。该</w:t>
      </w:r>
      <w:r>
        <w:rPr>
          <w:rFonts w:ascii="Times"/>
          <w:sz w:val="22"/>
          <w:szCs w:val="22"/>
          <w:lang w:val="en-US"/>
        </w:rPr>
        <w:t xml:space="preserve"> </w:t>
      </w:r>
      <w:r>
        <w:rPr>
          <w:rFonts w:ascii="Cambria" w:eastAsia="Cambria" w:hAnsi="Cambria" w:cs="Cambria"/>
          <w:sz w:val="22"/>
          <w:szCs w:val="22"/>
        </w:rPr>
        <w:t>三次股权转让均应在本协议约定的条件达成时方可实施。</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本次为第一次股权转让</w:t>
      </w:r>
      <w:r>
        <w:rPr>
          <w:rFonts w:ascii="Times"/>
          <w:sz w:val="22"/>
          <w:szCs w:val="22"/>
          <w:lang w:val="en-US"/>
        </w:rPr>
        <w:t>,</w:t>
      </w:r>
      <w:r>
        <w:rPr>
          <w:rFonts w:ascii="Cambria" w:eastAsia="Cambria" w:hAnsi="Cambria" w:cs="Cambria"/>
          <w:sz w:val="22"/>
          <w:szCs w:val="22"/>
        </w:rPr>
        <w:t>本公司出资</w:t>
      </w:r>
      <w:r>
        <w:rPr>
          <w:rFonts w:ascii="Times"/>
          <w:sz w:val="22"/>
          <w:szCs w:val="22"/>
          <w:lang w:val="en-US"/>
        </w:rPr>
        <w:t xml:space="preserve"> </w:t>
      </w:r>
      <w:r>
        <w:rPr>
          <w:rFonts w:ascii="Times New Roman"/>
          <w:sz w:val="22"/>
          <w:szCs w:val="22"/>
          <w:lang w:val="en-US"/>
        </w:rPr>
        <w:t xml:space="preserve">10,752 </w:t>
      </w:r>
      <w:r>
        <w:rPr>
          <w:rFonts w:ascii="Cambria" w:eastAsia="Cambria" w:hAnsi="Cambria" w:cs="Cambria"/>
          <w:sz w:val="22"/>
          <w:szCs w:val="22"/>
        </w:rPr>
        <w:t>万元受让上述其中</w:t>
      </w:r>
      <w:r>
        <w:rPr>
          <w:rFonts w:ascii="Times"/>
          <w:sz w:val="22"/>
          <w:szCs w:val="22"/>
          <w:lang w:val="en-US"/>
        </w:rPr>
        <w:t xml:space="preserve"> </w:t>
      </w:r>
      <w:r>
        <w:rPr>
          <w:rFonts w:ascii="Times New Roman"/>
          <w:sz w:val="22"/>
          <w:szCs w:val="22"/>
          <w:lang w:val="en-US"/>
        </w:rPr>
        <w:t xml:space="preserve">4 </w:t>
      </w:r>
      <w:r>
        <w:rPr>
          <w:rFonts w:ascii="Cambria" w:eastAsia="Cambria" w:hAnsi="Cambria" w:cs="Cambria"/>
          <w:sz w:val="22"/>
          <w:szCs w:val="22"/>
        </w:rPr>
        <w:t>位法人和</w:t>
      </w:r>
      <w:r>
        <w:rPr>
          <w:rFonts w:ascii="Times"/>
          <w:sz w:val="22"/>
          <w:szCs w:val="22"/>
          <w:lang w:val="en-US"/>
        </w:rPr>
        <w:t xml:space="preserve"> </w:t>
      </w:r>
      <w:r>
        <w:rPr>
          <w:rFonts w:ascii="Times New Roman"/>
          <w:sz w:val="22"/>
          <w:szCs w:val="22"/>
          <w:lang w:val="en-US"/>
        </w:rPr>
        <w:t xml:space="preserve">8 </w:t>
      </w:r>
      <w:r>
        <w:rPr>
          <w:rFonts w:ascii="Cambria" w:eastAsia="Cambria" w:hAnsi="Cambria" w:cs="Cambria"/>
          <w:sz w:val="22"/>
          <w:szCs w:val="22"/>
        </w:rPr>
        <w:t>位自然人持有的精典博维</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的股权。本次交易完成后</w:t>
      </w:r>
      <w:r>
        <w:rPr>
          <w:rFonts w:ascii="Times"/>
          <w:sz w:val="22"/>
          <w:szCs w:val="22"/>
          <w:lang w:val="en-US"/>
        </w:rPr>
        <w:t>,</w:t>
      </w:r>
      <w:r>
        <w:rPr>
          <w:rFonts w:ascii="Cambria" w:eastAsia="Cambria" w:hAnsi="Cambria" w:cs="Cambria"/>
          <w:sz w:val="22"/>
          <w:szCs w:val="22"/>
        </w:rPr>
        <w:t>本公司持有精典博维</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股权</w:t>
      </w:r>
      <w:r>
        <w:rPr>
          <w:rFonts w:ascii="Times"/>
          <w:sz w:val="22"/>
          <w:szCs w:val="22"/>
          <w:lang w:val="en-US"/>
        </w:rPr>
        <w:t>,</w:t>
      </w:r>
      <w:r>
        <w:rPr>
          <w:rFonts w:ascii="Cambria" w:eastAsia="Cambria" w:hAnsi="Cambria" w:cs="Cambria"/>
          <w:sz w:val="22"/>
          <w:szCs w:val="22"/>
        </w:rPr>
        <w:t>成为精典博维的第一大股东。</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2</w:t>
      </w:r>
      <w:r>
        <w:rPr>
          <w:rFonts w:ascii="Cambria" w:eastAsia="Cambria" w:hAnsi="Cambria" w:cs="Cambria"/>
          <w:sz w:val="22"/>
          <w:szCs w:val="22"/>
        </w:rPr>
        <w:t>、董事会审议投资议案的表决情况</w:t>
      </w:r>
      <w:r>
        <w:rPr>
          <w:rFonts w:ascii="Times"/>
          <w:sz w:val="22"/>
          <w:szCs w:val="22"/>
          <w:lang w:val="en-US"/>
        </w:rPr>
        <w:t xml:space="preserve"> </w:t>
      </w:r>
      <w:r>
        <w:rPr>
          <w:rFonts w:ascii="Cambria" w:eastAsia="Cambria" w:hAnsi="Cambria" w:cs="Cambria"/>
          <w:sz w:val="22"/>
          <w:szCs w:val="22"/>
        </w:rPr>
        <w:t>本次交易已经公司第八届董事会第二次会议审议通过</w:t>
      </w:r>
      <w:r>
        <w:rPr>
          <w:rFonts w:ascii="Times"/>
          <w:sz w:val="22"/>
          <w:szCs w:val="22"/>
          <w:lang w:val="en-US"/>
        </w:rPr>
        <w:t>,</w:t>
      </w:r>
      <w:r>
        <w:rPr>
          <w:rFonts w:ascii="Cambria" w:eastAsia="Cambria" w:hAnsi="Cambria" w:cs="Cambria"/>
          <w:sz w:val="22"/>
          <w:szCs w:val="22"/>
        </w:rPr>
        <w:t>无需股东大会审议。</w:t>
      </w:r>
      <w:r>
        <w:rPr>
          <w:rFonts w:ascii="Times"/>
          <w:sz w:val="22"/>
          <w:szCs w:val="22"/>
          <w:lang w:val="en-US"/>
        </w:rPr>
        <w:t xml:space="preserve"> 3</w:t>
      </w:r>
      <w:r>
        <w:rPr>
          <w:rFonts w:ascii="Cambria" w:eastAsia="Cambria" w:hAnsi="Cambria" w:cs="Cambria"/>
          <w:sz w:val="22"/>
          <w:szCs w:val="22"/>
        </w:rPr>
        <w:t>、是否构成关联交易</w:t>
      </w:r>
      <w:r>
        <w:rPr>
          <w:rFonts w:ascii="Times"/>
          <w:sz w:val="22"/>
          <w:szCs w:val="22"/>
          <w:lang w:val="en-US"/>
        </w:rPr>
        <w:t xml:space="preserve"> </w:t>
      </w:r>
      <w:r>
        <w:rPr>
          <w:rFonts w:ascii="Cambria" w:eastAsia="Cambria" w:hAnsi="Cambria" w:cs="Cambria"/>
          <w:sz w:val="22"/>
          <w:szCs w:val="22"/>
        </w:rPr>
        <w:t>本次交易不构成关联交易</w:t>
      </w:r>
      <w:r>
        <w:rPr>
          <w:rFonts w:ascii="Times"/>
          <w:sz w:val="22"/>
          <w:szCs w:val="22"/>
          <w:lang w:val="en-US"/>
        </w:rPr>
        <w:t>,</w:t>
      </w:r>
      <w:r>
        <w:rPr>
          <w:rFonts w:ascii="Cambria" w:eastAsia="Cambria" w:hAnsi="Cambria" w:cs="Cambria"/>
          <w:sz w:val="22"/>
          <w:szCs w:val="22"/>
        </w:rPr>
        <w:t>亦不构成《上市公司重大资产重组管理办法》规定的重大资产重组。</w:t>
      </w:r>
      <w:r>
        <w:rPr>
          <w:rFonts w:ascii="Times"/>
          <w:sz w:val="22"/>
          <w:szCs w:val="22"/>
          <w:lang w:val="en-US"/>
        </w:rPr>
        <w:t xml:space="preserve"> </w:t>
      </w:r>
    </w:p>
    <w:p w:rsidR="003A5CE8" w:rsidRDefault="003A5CE8">
      <w:pPr>
        <w:pStyle w:val="B"/>
        <w:rPr>
          <w:rFonts w:ascii="Times" w:eastAsia="Times" w:hAnsi="Times" w:cs="Times" w:hint="default"/>
          <w:sz w:val="22"/>
          <w:szCs w:val="22"/>
        </w:rPr>
      </w:pP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二、交易对方的基本情况</w:t>
      </w:r>
    </w:p>
    <w:p w:rsidR="003A5CE8" w:rsidRDefault="007038D7">
      <w:pPr>
        <w:pStyle w:val="B"/>
        <w:spacing w:after="240"/>
        <w:rPr>
          <w:rFonts w:ascii="Times" w:eastAsia="Times" w:hAnsi="Times" w:cs="Times" w:hint="default"/>
          <w:sz w:val="22"/>
          <w:szCs w:val="22"/>
        </w:rPr>
      </w:pPr>
      <w:r>
        <w:rPr>
          <w:rFonts w:ascii="Times" w:eastAsia="Times" w:hAnsi="Times" w:cs="Times"/>
          <w:sz w:val="22"/>
          <w:szCs w:val="22"/>
          <w:lang w:val="en-US"/>
        </w:rPr>
        <w:br/>
      </w:r>
      <w:r>
        <w:rPr>
          <w:rFonts w:ascii="Times"/>
          <w:sz w:val="22"/>
          <w:szCs w:val="22"/>
          <w:lang w:val="en-US"/>
        </w:rPr>
        <w:t>1</w:t>
      </w:r>
      <w:r>
        <w:rPr>
          <w:rFonts w:ascii="Cambria" w:eastAsia="Cambria" w:hAnsi="Cambria" w:cs="Cambria"/>
          <w:sz w:val="22"/>
          <w:szCs w:val="22"/>
        </w:rPr>
        <w:t>、交易对方的基本情况</w:t>
      </w:r>
    </w:p>
    <w:p w:rsidR="003A5CE8" w:rsidRDefault="007038D7">
      <w:pPr>
        <w:pStyle w:val="B"/>
        <w:spacing w:after="240"/>
        <w:rPr>
          <w:rFonts w:ascii="Times" w:eastAsia="Times" w:hAnsi="Times" w:cs="Times" w:hint="default"/>
          <w:sz w:val="22"/>
          <w:szCs w:val="22"/>
        </w:rPr>
      </w:pPr>
      <w:r>
        <w:rPr>
          <w:rFonts w:ascii="Times" w:eastAsia="Times" w:hAnsi="Times" w:cs="Times"/>
          <w:sz w:val="22"/>
          <w:szCs w:val="22"/>
          <w:lang w:val="en-US"/>
        </w:rPr>
        <w:br/>
      </w:r>
      <w:r>
        <w:rPr>
          <w:rFonts w:ascii="Times"/>
          <w:sz w:val="22"/>
          <w:szCs w:val="22"/>
          <w:lang w:val="en-US"/>
        </w:rPr>
        <w:t>(</w:t>
      </w:r>
      <w:r>
        <w:rPr>
          <w:rFonts w:ascii="Times New Roman"/>
          <w:sz w:val="22"/>
          <w:szCs w:val="22"/>
          <w:lang w:val="en-US"/>
        </w:rPr>
        <w:t>1</w:t>
      </w:r>
      <w:r>
        <w:rPr>
          <w:rFonts w:ascii="Times"/>
          <w:sz w:val="22"/>
          <w:szCs w:val="22"/>
          <w:lang w:val="en-US"/>
        </w:rPr>
        <w:t>)</w:t>
      </w:r>
      <w:r>
        <w:rPr>
          <w:rFonts w:ascii="Cambria" w:eastAsia="Cambria" w:hAnsi="Cambria" w:cs="Cambria"/>
          <w:sz w:val="22"/>
          <w:szCs w:val="22"/>
        </w:rPr>
        <w:t>吴梅林</w:t>
      </w:r>
      <w:r>
        <w:rPr>
          <w:rFonts w:ascii="Times" w:eastAsia="Times" w:hAnsi="Times" w:cs="Times"/>
          <w:sz w:val="22"/>
          <w:szCs w:val="22"/>
          <w:lang w:val="en-US"/>
        </w:rPr>
        <w:br/>
        <w:t xml:space="preserve"> </w:t>
      </w:r>
      <w:r>
        <w:rPr>
          <w:rFonts w:ascii="Times"/>
          <w:sz w:val="22"/>
          <w:szCs w:val="22"/>
          <w:lang w:val="en-US"/>
        </w:rPr>
        <w:t>(</w:t>
      </w:r>
      <w:r>
        <w:rPr>
          <w:rFonts w:ascii="Times New Roman"/>
          <w:sz w:val="22"/>
          <w:szCs w:val="22"/>
          <w:lang w:val="en-US"/>
        </w:rPr>
        <w:t>2</w:t>
      </w:r>
      <w:r>
        <w:rPr>
          <w:rFonts w:ascii="Times"/>
          <w:sz w:val="22"/>
          <w:szCs w:val="22"/>
          <w:lang w:val="en-US"/>
        </w:rPr>
        <w:t>)</w:t>
      </w:r>
      <w:r>
        <w:rPr>
          <w:rFonts w:ascii="Cambria" w:eastAsia="Cambria" w:hAnsi="Cambria" w:cs="Cambria"/>
          <w:sz w:val="22"/>
          <w:szCs w:val="22"/>
        </w:rPr>
        <w:t>曹金玲</w:t>
      </w:r>
      <w:r>
        <w:rPr>
          <w:rFonts w:ascii="Times"/>
          <w:sz w:val="22"/>
          <w:szCs w:val="22"/>
          <w:lang w:val="en-US"/>
        </w:rPr>
        <w:t xml:space="preserve">  (</w:t>
      </w:r>
      <w:r>
        <w:rPr>
          <w:rFonts w:ascii="Times New Roman"/>
          <w:sz w:val="22"/>
          <w:szCs w:val="22"/>
          <w:lang w:val="en-US"/>
        </w:rPr>
        <w:t>3</w:t>
      </w:r>
      <w:r>
        <w:rPr>
          <w:rFonts w:ascii="Times"/>
          <w:sz w:val="22"/>
          <w:szCs w:val="22"/>
          <w:lang w:val="en-US"/>
        </w:rPr>
        <w:t>)</w:t>
      </w:r>
      <w:r>
        <w:rPr>
          <w:rFonts w:ascii="Cambria" w:eastAsia="Cambria" w:hAnsi="Cambria" w:cs="Cambria"/>
          <w:sz w:val="22"/>
          <w:szCs w:val="22"/>
        </w:rPr>
        <w:t>北京瑞益创享文化投资中心</w:t>
      </w:r>
      <w:r>
        <w:rPr>
          <w:rFonts w:ascii="Times"/>
          <w:sz w:val="22"/>
          <w:szCs w:val="22"/>
          <w:lang w:val="en-US"/>
        </w:rPr>
        <w:t>(</w:t>
      </w:r>
      <w:r>
        <w:rPr>
          <w:rFonts w:ascii="Cambria" w:eastAsia="Cambria" w:hAnsi="Cambria" w:cs="Cambria"/>
          <w:sz w:val="22"/>
          <w:szCs w:val="22"/>
        </w:rPr>
        <w:t>有限合伙</w:t>
      </w:r>
      <w:r>
        <w:rPr>
          <w:rFonts w:ascii="Times"/>
          <w:sz w:val="22"/>
          <w:szCs w:val="22"/>
          <w:lang w:val="en-US"/>
        </w:rPr>
        <w:t>) (</w:t>
      </w:r>
      <w:r>
        <w:rPr>
          <w:rFonts w:ascii="Times New Roman"/>
          <w:sz w:val="22"/>
          <w:szCs w:val="22"/>
          <w:lang w:val="en-US"/>
        </w:rPr>
        <w:t>4</w:t>
      </w:r>
      <w:r>
        <w:rPr>
          <w:rFonts w:ascii="Times"/>
          <w:sz w:val="22"/>
          <w:szCs w:val="22"/>
          <w:lang w:val="en-US"/>
        </w:rPr>
        <w:t>)</w:t>
      </w:r>
      <w:r>
        <w:rPr>
          <w:rFonts w:ascii="Cambria" w:eastAsia="Cambria" w:hAnsi="Cambria" w:cs="Cambria"/>
          <w:sz w:val="22"/>
          <w:szCs w:val="22"/>
        </w:rPr>
        <w:t>钱淼根</w:t>
      </w:r>
      <w:r>
        <w:rPr>
          <w:rFonts w:ascii="Times" w:eastAsia="Times" w:hAnsi="Times" w:cs="Times"/>
          <w:sz w:val="22"/>
          <w:szCs w:val="22"/>
          <w:lang w:val="en-US"/>
        </w:rPr>
        <w:br/>
      </w:r>
      <w:r>
        <w:rPr>
          <w:rFonts w:ascii="Times"/>
          <w:sz w:val="22"/>
          <w:szCs w:val="22"/>
          <w:lang w:val="en-US"/>
        </w:rPr>
        <w:t>(</w:t>
      </w:r>
      <w:r>
        <w:rPr>
          <w:rFonts w:ascii="Times New Roman"/>
          <w:sz w:val="22"/>
          <w:szCs w:val="22"/>
          <w:lang w:val="en-US"/>
        </w:rPr>
        <w:t>5</w:t>
      </w:r>
      <w:r>
        <w:rPr>
          <w:rFonts w:ascii="Times"/>
          <w:sz w:val="22"/>
          <w:szCs w:val="22"/>
          <w:lang w:val="en-US"/>
        </w:rPr>
        <w:t>)</w:t>
      </w:r>
      <w:r>
        <w:rPr>
          <w:rFonts w:ascii="Cambria" w:eastAsia="Cambria" w:hAnsi="Cambria" w:cs="Cambria"/>
          <w:sz w:val="22"/>
          <w:szCs w:val="22"/>
        </w:rPr>
        <w:t>杭州文广创业投资有限公司</w:t>
      </w:r>
      <w:r>
        <w:rPr>
          <w:rFonts w:ascii="Times" w:eastAsia="Times" w:hAnsi="Times" w:cs="Times"/>
          <w:sz w:val="22"/>
          <w:szCs w:val="22"/>
          <w:lang w:val="en-US"/>
        </w:rPr>
        <w:br/>
      </w:r>
      <w:r>
        <w:rPr>
          <w:rFonts w:ascii="Cambria" w:eastAsia="Cambria" w:hAnsi="Cambria" w:cs="Cambria"/>
          <w:sz w:val="22"/>
          <w:szCs w:val="22"/>
        </w:rPr>
        <w:t>企业性质</w:t>
      </w:r>
      <w:r>
        <w:rPr>
          <w:rFonts w:ascii="Times"/>
          <w:sz w:val="22"/>
          <w:szCs w:val="22"/>
          <w:lang w:val="en-US"/>
        </w:rPr>
        <w:t>(</w:t>
      </w:r>
      <w:r>
        <w:rPr>
          <w:rFonts w:ascii="Times New Roman"/>
          <w:sz w:val="22"/>
          <w:szCs w:val="22"/>
          <w:lang w:val="en-US"/>
        </w:rPr>
        <w:t>6</w:t>
      </w:r>
      <w:r>
        <w:rPr>
          <w:rFonts w:ascii="Times"/>
          <w:sz w:val="22"/>
          <w:szCs w:val="22"/>
          <w:lang w:val="en-US"/>
        </w:rPr>
        <w:t>)</w:t>
      </w:r>
      <w:r>
        <w:rPr>
          <w:rFonts w:ascii="Cambria" w:eastAsia="Cambria" w:hAnsi="Cambria" w:cs="Cambria"/>
          <w:sz w:val="22"/>
          <w:szCs w:val="22"/>
        </w:rPr>
        <w:t>马淑清</w:t>
      </w:r>
      <w:r>
        <w:rPr>
          <w:rFonts w:ascii="Times"/>
          <w:sz w:val="22"/>
          <w:szCs w:val="22"/>
          <w:lang w:val="en-US"/>
        </w:rPr>
        <w:t xml:space="preserve"> (</w:t>
      </w:r>
      <w:r>
        <w:rPr>
          <w:rFonts w:ascii="Times New Roman"/>
          <w:sz w:val="22"/>
          <w:szCs w:val="22"/>
          <w:lang w:val="en-US"/>
        </w:rPr>
        <w:t>7</w:t>
      </w:r>
      <w:r>
        <w:rPr>
          <w:rFonts w:ascii="Times"/>
          <w:sz w:val="22"/>
          <w:szCs w:val="22"/>
          <w:lang w:val="en-US"/>
        </w:rPr>
        <w:t>)</w:t>
      </w:r>
      <w:r>
        <w:rPr>
          <w:rFonts w:ascii="Cambria" w:eastAsia="Cambria" w:hAnsi="Cambria" w:cs="Cambria"/>
          <w:sz w:val="22"/>
          <w:szCs w:val="22"/>
        </w:rPr>
        <w:t>北京博大会成投资管理中心</w:t>
      </w:r>
      <w:r>
        <w:rPr>
          <w:rFonts w:ascii="Times"/>
          <w:sz w:val="22"/>
          <w:szCs w:val="22"/>
          <w:lang w:val="en-US"/>
        </w:rPr>
        <w:t>(</w:t>
      </w:r>
      <w:r>
        <w:rPr>
          <w:rFonts w:ascii="Cambria" w:eastAsia="Cambria" w:hAnsi="Cambria" w:cs="Cambria"/>
          <w:sz w:val="22"/>
          <w:szCs w:val="22"/>
        </w:rPr>
        <w:t>有限合伙</w:t>
      </w:r>
      <w:r>
        <w:rPr>
          <w:rFonts w:ascii="Times"/>
          <w:sz w:val="22"/>
          <w:szCs w:val="22"/>
          <w:lang w:val="en-US"/>
        </w:rPr>
        <w:t xml:space="preserve">) </w:t>
      </w:r>
      <w:r>
        <w:rPr>
          <w:rFonts w:ascii="Cambria" w:eastAsia="Cambria" w:hAnsi="Cambria" w:cs="Cambria"/>
          <w:sz w:val="22"/>
          <w:szCs w:val="22"/>
        </w:rPr>
        <w:t>企业</w:t>
      </w:r>
      <w:r>
        <w:rPr>
          <w:rFonts w:ascii="Times"/>
          <w:sz w:val="22"/>
          <w:szCs w:val="22"/>
          <w:lang w:val="en-US"/>
        </w:rPr>
        <w:t xml:space="preserve"> (</w:t>
      </w:r>
      <w:r>
        <w:rPr>
          <w:rFonts w:ascii="Times New Roman"/>
          <w:sz w:val="22"/>
          <w:szCs w:val="22"/>
          <w:lang w:val="en-US"/>
        </w:rPr>
        <w:t>8</w:t>
      </w:r>
      <w:r>
        <w:rPr>
          <w:rFonts w:ascii="Times"/>
          <w:sz w:val="22"/>
          <w:szCs w:val="22"/>
          <w:lang w:val="en-US"/>
        </w:rPr>
        <w:t>)</w:t>
      </w:r>
      <w:r>
        <w:rPr>
          <w:rFonts w:ascii="Cambria" w:eastAsia="Cambria" w:hAnsi="Cambria" w:cs="Cambria"/>
          <w:sz w:val="22"/>
          <w:szCs w:val="22"/>
        </w:rPr>
        <w:t>潘建文</w:t>
      </w:r>
      <w:r>
        <w:rPr>
          <w:rFonts w:ascii="Times"/>
          <w:sz w:val="22"/>
          <w:szCs w:val="22"/>
          <w:lang w:val="en-US"/>
        </w:rPr>
        <w:t xml:space="preserve"> (</w:t>
      </w:r>
      <w:r>
        <w:rPr>
          <w:rFonts w:ascii="Times New Roman"/>
          <w:sz w:val="22"/>
          <w:szCs w:val="22"/>
          <w:lang w:val="en-US"/>
        </w:rPr>
        <w:t>9</w:t>
      </w:r>
      <w:r>
        <w:rPr>
          <w:rFonts w:ascii="Times"/>
          <w:sz w:val="22"/>
          <w:szCs w:val="22"/>
          <w:lang w:val="en-US"/>
        </w:rPr>
        <w:t>)</w:t>
      </w:r>
      <w:r>
        <w:rPr>
          <w:rFonts w:ascii="Cambria" w:eastAsia="Cambria" w:hAnsi="Cambria" w:cs="Cambria"/>
          <w:sz w:val="22"/>
          <w:szCs w:val="22"/>
        </w:rPr>
        <w:t>徐平华</w:t>
      </w:r>
      <w:r>
        <w:rPr>
          <w:rFonts w:ascii="Times"/>
          <w:sz w:val="22"/>
          <w:szCs w:val="22"/>
          <w:lang w:val="en-US"/>
        </w:rPr>
        <w:t xml:space="preserve">  (</w:t>
      </w:r>
      <w:r>
        <w:rPr>
          <w:rFonts w:ascii="Times New Roman"/>
          <w:sz w:val="22"/>
          <w:szCs w:val="22"/>
          <w:lang w:val="en-US"/>
        </w:rPr>
        <w:t>10</w:t>
      </w:r>
      <w:r>
        <w:rPr>
          <w:rFonts w:ascii="Times"/>
          <w:sz w:val="22"/>
          <w:szCs w:val="22"/>
          <w:lang w:val="en-US"/>
        </w:rPr>
        <w:t>)</w:t>
      </w:r>
      <w:r>
        <w:rPr>
          <w:rFonts w:ascii="Cambria" w:eastAsia="Cambria" w:hAnsi="Cambria" w:cs="Cambria"/>
          <w:sz w:val="22"/>
          <w:szCs w:val="22"/>
        </w:rPr>
        <w:t>章剑</w:t>
      </w:r>
      <w:r>
        <w:rPr>
          <w:rFonts w:ascii="Times" w:eastAsia="Times" w:hAnsi="Times" w:cs="Times"/>
          <w:sz w:val="22"/>
          <w:szCs w:val="22"/>
          <w:lang w:val="en-US"/>
        </w:rPr>
        <w:br/>
      </w:r>
      <w:r>
        <w:rPr>
          <w:rFonts w:ascii="Times"/>
          <w:sz w:val="22"/>
          <w:szCs w:val="22"/>
          <w:lang w:val="en-US"/>
        </w:rPr>
        <w:t>(</w:t>
      </w:r>
      <w:r>
        <w:rPr>
          <w:rFonts w:ascii="Times New Roman"/>
          <w:sz w:val="22"/>
          <w:szCs w:val="22"/>
          <w:lang w:val="en-US"/>
        </w:rPr>
        <w:t>11</w:t>
      </w:r>
      <w:r>
        <w:rPr>
          <w:rFonts w:ascii="Times"/>
          <w:sz w:val="22"/>
          <w:szCs w:val="22"/>
          <w:lang w:val="en-US"/>
        </w:rPr>
        <w:t>)</w:t>
      </w:r>
      <w:r>
        <w:rPr>
          <w:rFonts w:ascii="Cambria" w:eastAsia="Cambria" w:hAnsi="Cambria" w:cs="Cambria"/>
          <w:sz w:val="22"/>
          <w:szCs w:val="22"/>
        </w:rPr>
        <w:t>赵达峰</w:t>
      </w:r>
      <w:r>
        <w:rPr>
          <w:rFonts w:ascii="Times"/>
          <w:sz w:val="22"/>
          <w:szCs w:val="22"/>
          <w:lang w:val="en-US"/>
        </w:rPr>
        <w:t xml:space="preserve">  (</w:t>
      </w:r>
      <w:r>
        <w:rPr>
          <w:rFonts w:ascii="Times New Roman"/>
          <w:sz w:val="22"/>
          <w:szCs w:val="22"/>
          <w:lang w:val="en-US"/>
        </w:rPr>
        <w:t>12</w:t>
      </w:r>
      <w:r>
        <w:rPr>
          <w:rFonts w:ascii="Times"/>
          <w:sz w:val="22"/>
          <w:szCs w:val="22"/>
          <w:lang w:val="en-US"/>
        </w:rPr>
        <w:t>)</w:t>
      </w:r>
      <w:r>
        <w:rPr>
          <w:rFonts w:ascii="Cambria" w:eastAsia="Cambria" w:hAnsi="Cambria" w:cs="Cambria"/>
          <w:sz w:val="22"/>
          <w:szCs w:val="22"/>
        </w:rPr>
        <w:t>北京百团百利创业投资中心</w:t>
      </w:r>
      <w:r>
        <w:rPr>
          <w:rFonts w:ascii="Times"/>
          <w:sz w:val="22"/>
          <w:szCs w:val="22"/>
          <w:lang w:val="en-US"/>
        </w:rPr>
        <w:t>(</w:t>
      </w:r>
      <w:r>
        <w:rPr>
          <w:rFonts w:ascii="Cambria" w:eastAsia="Cambria" w:hAnsi="Cambria" w:cs="Cambria"/>
          <w:sz w:val="22"/>
          <w:szCs w:val="22"/>
        </w:rPr>
        <w:t>有限合伙</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2</w:t>
      </w:r>
      <w:r>
        <w:rPr>
          <w:rFonts w:ascii="Cambria" w:eastAsia="Cambria" w:hAnsi="Cambria" w:cs="Cambria"/>
          <w:sz w:val="22"/>
          <w:szCs w:val="22"/>
        </w:rPr>
        <w:t>、交易对方与本公司及本公司董事、监事及高级管理人员不存在关联关系</w:t>
      </w:r>
      <w:r>
        <w:rPr>
          <w:rFonts w:ascii="Times"/>
          <w:sz w:val="22"/>
          <w:szCs w:val="22"/>
          <w:lang w:val="en-US"/>
        </w:rPr>
        <w:t xml:space="preserve">, </w:t>
      </w:r>
      <w:r>
        <w:rPr>
          <w:rFonts w:ascii="Cambria" w:eastAsia="Cambria" w:hAnsi="Cambria" w:cs="Cambria"/>
          <w:sz w:val="22"/>
          <w:szCs w:val="22"/>
        </w:rPr>
        <w:t>亦不存在其他可能或已经造成本公司对其利益倾斜的其他关系。</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三、交易标的基本情况</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1</w:t>
      </w:r>
      <w:r>
        <w:rPr>
          <w:rFonts w:ascii="Cambria" w:eastAsia="Cambria" w:hAnsi="Cambria" w:cs="Cambria"/>
          <w:sz w:val="22"/>
          <w:szCs w:val="22"/>
        </w:rPr>
        <w:t>、标的资产概况</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公司名称</w:t>
      </w:r>
      <w:r>
        <w:rPr>
          <w:rFonts w:ascii="Times"/>
          <w:sz w:val="22"/>
          <w:szCs w:val="22"/>
          <w:lang w:val="en-US"/>
        </w:rPr>
        <w:t>:</w:t>
      </w:r>
      <w:r>
        <w:rPr>
          <w:rFonts w:ascii="Cambria" w:eastAsia="Cambria" w:hAnsi="Cambria" w:cs="Cambria"/>
          <w:sz w:val="22"/>
          <w:szCs w:val="22"/>
        </w:rPr>
        <w:t>北京精典博维文化传媒有限公司</w:t>
      </w:r>
      <w:r>
        <w:rPr>
          <w:rFonts w:ascii="Times"/>
          <w:sz w:val="22"/>
          <w:szCs w:val="22"/>
          <w:lang w:val="en-US"/>
        </w:rPr>
        <w:t xml:space="preserve"> </w:t>
      </w:r>
      <w:r>
        <w:rPr>
          <w:rFonts w:ascii="Cambria" w:eastAsia="Cambria" w:hAnsi="Cambria" w:cs="Cambria"/>
          <w:sz w:val="22"/>
          <w:szCs w:val="22"/>
        </w:rPr>
        <w:t>住所</w:t>
      </w:r>
      <w:r>
        <w:rPr>
          <w:rFonts w:ascii="Times"/>
          <w:sz w:val="22"/>
          <w:szCs w:val="22"/>
          <w:lang w:val="en-US"/>
        </w:rPr>
        <w:t>:</w:t>
      </w:r>
      <w:r>
        <w:rPr>
          <w:rFonts w:ascii="Cambria" w:eastAsia="Cambria" w:hAnsi="Cambria" w:cs="Cambria"/>
          <w:sz w:val="22"/>
          <w:szCs w:val="22"/>
        </w:rPr>
        <w:t>北京市西城区德胜门外大街</w:t>
      </w:r>
      <w:r>
        <w:rPr>
          <w:rFonts w:ascii="Times"/>
          <w:sz w:val="22"/>
          <w:szCs w:val="22"/>
          <w:lang w:val="en-US"/>
        </w:rPr>
        <w:t xml:space="preserve"> </w:t>
      </w:r>
      <w:r>
        <w:rPr>
          <w:rFonts w:ascii="Times New Roman"/>
          <w:sz w:val="22"/>
          <w:szCs w:val="22"/>
          <w:lang w:val="en-US"/>
        </w:rPr>
        <w:t xml:space="preserve">77 </w:t>
      </w:r>
      <w:r>
        <w:rPr>
          <w:rFonts w:ascii="Cambria" w:eastAsia="Cambria" w:hAnsi="Cambria" w:cs="Cambria"/>
          <w:sz w:val="22"/>
          <w:szCs w:val="22"/>
        </w:rPr>
        <w:t>号等</w:t>
      </w:r>
      <w:r>
        <w:rPr>
          <w:rFonts w:ascii="Times"/>
          <w:sz w:val="22"/>
          <w:szCs w:val="22"/>
          <w:lang w:val="en-US"/>
        </w:rPr>
        <w:t xml:space="preserve"> </w:t>
      </w:r>
      <w:r>
        <w:rPr>
          <w:rFonts w:ascii="Times New Roman"/>
          <w:sz w:val="22"/>
          <w:szCs w:val="22"/>
          <w:lang w:val="en-US"/>
        </w:rPr>
        <w:t xml:space="preserve">6 </w:t>
      </w:r>
      <w:r>
        <w:rPr>
          <w:rFonts w:ascii="Cambria" w:eastAsia="Cambria" w:hAnsi="Cambria" w:cs="Cambria"/>
          <w:sz w:val="22"/>
          <w:szCs w:val="22"/>
        </w:rPr>
        <w:t>幢</w:t>
      </w:r>
      <w:r>
        <w:rPr>
          <w:rFonts w:ascii="Times"/>
          <w:sz w:val="22"/>
          <w:szCs w:val="22"/>
          <w:lang w:val="en-US"/>
        </w:rPr>
        <w:t xml:space="preserve"> </w:t>
      </w:r>
      <w:r>
        <w:rPr>
          <w:rFonts w:ascii="Times New Roman"/>
          <w:sz w:val="22"/>
          <w:szCs w:val="22"/>
          <w:lang w:val="en-US"/>
        </w:rPr>
        <w:t xml:space="preserve">87 </w:t>
      </w:r>
      <w:r>
        <w:rPr>
          <w:rFonts w:ascii="Cambria" w:eastAsia="Cambria" w:hAnsi="Cambria" w:cs="Cambria"/>
          <w:sz w:val="22"/>
          <w:szCs w:val="22"/>
        </w:rPr>
        <w:t>号楼</w:t>
      </w:r>
      <w:r>
        <w:rPr>
          <w:rFonts w:ascii="Times"/>
          <w:sz w:val="22"/>
          <w:szCs w:val="22"/>
          <w:lang w:val="en-US"/>
        </w:rPr>
        <w:t xml:space="preserve"> </w:t>
      </w:r>
      <w:r>
        <w:rPr>
          <w:rFonts w:ascii="Times New Roman"/>
          <w:sz w:val="22"/>
          <w:szCs w:val="22"/>
          <w:lang w:val="en-US"/>
        </w:rPr>
        <w:t xml:space="preserve">101 </w:t>
      </w:r>
      <w:r>
        <w:rPr>
          <w:rFonts w:ascii="Cambria" w:eastAsia="Cambria" w:hAnsi="Cambria" w:cs="Cambria"/>
          <w:sz w:val="22"/>
          <w:szCs w:val="22"/>
        </w:rPr>
        <w:t>单元</w:t>
      </w:r>
      <w:r>
        <w:rPr>
          <w:rFonts w:ascii="Times"/>
          <w:sz w:val="22"/>
          <w:szCs w:val="22"/>
          <w:lang w:val="en-US"/>
        </w:rPr>
        <w:t>(</w:t>
      </w:r>
      <w:r>
        <w:rPr>
          <w:rFonts w:ascii="Cambria" w:eastAsia="Cambria" w:hAnsi="Cambria" w:cs="Cambria"/>
          <w:sz w:val="22"/>
          <w:szCs w:val="22"/>
        </w:rPr>
        <w:t>德胜园</w:t>
      </w:r>
      <w:r>
        <w:rPr>
          <w:rFonts w:ascii="Times"/>
          <w:sz w:val="22"/>
          <w:szCs w:val="22"/>
          <w:lang w:val="en-US"/>
        </w:rPr>
        <w:t xml:space="preserve"> </w:t>
      </w:r>
      <w:r>
        <w:rPr>
          <w:rFonts w:ascii="Cambria" w:eastAsia="Cambria" w:hAnsi="Cambria" w:cs="Cambria"/>
          <w:sz w:val="22"/>
          <w:szCs w:val="22"/>
        </w:rPr>
        <w:t>区</w:t>
      </w:r>
      <w:r>
        <w:rPr>
          <w:rFonts w:ascii="Times"/>
          <w:sz w:val="22"/>
          <w:szCs w:val="22"/>
          <w:lang w:val="en-US"/>
        </w:rPr>
        <w:t>)</w:t>
      </w:r>
      <w:r>
        <w:rPr>
          <w:rFonts w:ascii="Times" w:eastAsia="Times" w:hAnsi="Times" w:cs="Times"/>
          <w:sz w:val="22"/>
          <w:szCs w:val="22"/>
          <w:lang w:val="en-US"/>
        </w:rPr>
        <w:br/>
      </w:r>
      <w:r>
        <w:rPr>
          <w:rFonts w:ascii="Cambria" w:eastAsia="Cambria" w:hAnsi="Cambria" w:cs="Cambria"/>
          <w:sz w:val="22"/>
          <w:szCs w:val="22"/>
        </w:rPr>
        <w:lastRenderedPageBreak/>
        <w:t>企业类型</w:t>
      </w:r>
      <w:r>
        <w:rPr>
          <w:rFonts w:ascii="Times"/>
          <w:sz w:val="22"/>
          <w:szCs w:val="22"/>
          <w:lang w:val="en-US"/>
        </w:rPr>
        <w:t>:</w:t>
      </w:r>
      <w:r>
        <w:rPr>
          <w:rFonts w:ascii="Cambria" w:eastAsia="Cambria" w:hAnsi="Cambria" w:cs="Cambria"/>
          <w:sz w:val="22"/>
          <w:szCs w:val="22"/>
        </w:rPr>
        <w:t>有限责任公司</w:t>
      </w:r>
      <w:r>
        <w:rPr>
          <w:rFonts w:ascii="Times" w:eastAsia="Times" w:hAnsi="Times" w:cs="Times"/>
          <w:sz w:val="22"/>
          <w:szCs w:val="22"/>
          <w:lang w:val="en-US"/>
        </w:rPr>
        <w:br/>
      </w:r>
      <w:r>
        <w:rPr>
          <w:rFonts w:ascii="Cambria" w:eastAsia="Cambria" w:hAnsi="Cambria" w:cs="Cambria"/>
          <w:sz w:val="22"/>
          <w:szCs w:val="22"/>
        </w:rPr>
        <w:t>法定代表人</w:t>
      </w:r>
      <w:r>
        <w:rPr>
          <w:rFonts w:ascii="Times"/>
          <w:sz w:val="22"/>
          <w:szCs w:val="22"/>
          <w:lang w:val="en-US"/>
        </w:rPr>
        <w:t>:</w:t>
      </w:r>
      <w:r>
        <w:rPr>
          <w:rFonts w:ascii="Cambria" w:eastAsia="Cambria" w:hAnsi="Cambria" w:cs="Cambria"/>
          <w:sz w:val="22"/>
          <w:szCs w:val="22"/>
        </w:rPr>
        <w:t>陈黎明</w:t>
      </w:r>
      <w:r>
        <w:rPr>
          <w:rFonts w:ascii="Times" w:eastAsia="Times" w:hAnsi="Times" w:cs="Times"/>
          <w:sz w:val="22"/>
          <w:szCs w:val="22"/>
          <w:lang w:val="en-US"/>
        </w:rPr>
        <w:br/>
      </w:r>
      <w:r>
        <w:rPr>
          <w:rFonts w:ascii="Cambria" w:eastAsia="Cambria" w:hAnsi="Cambria" w:cs="Cambria"/>
          <w:sz w:val="22"/>
          <w:szCs w:val="22"/>
        </w:rPr>
        <w:t>注册资本</w:t>
      </w:r>
      <w:r>
        <w:rPr>
          <w:rFonts w:ascii="Times"/>
          <w:sz w:val="22"/>
          <w:szCs w:val="22"/>
          <w:lang w:val="en-US"/>
        </w:rPr>
        <w:t>:</w:t>
      </w:r>
      <w:r>
        <w:rPr>
          <w:rFonts w:ascii="Cambria" w:eastAsia="Cambria" w:hAnsi="Cambria" w:cs="Cambria"/>
          <w:sz w:val="22"/>
          <w:szCs w:val="22"/>
        </w:rPr>
        <w:t>人民币</w:t>
      </w:r>
      <w:r>
        <w:rPr>
          <w:rFonts w:ascii="Times"/>
          <w:sz w:val="22"/>
          <w:szCs w:val="22"/>
          <w:lang w:val="en-US"/>
        </w:rPr>
        <w:t xml:space="preserve"> </w:t>
      </w:r>
      <w:r>
        <w:rPr>
          <w:rFonts w:ascii="Times New Roman"/>
          <w:sz w:val="22"/>
          <w:szCs w:val="22"/>
          <w:lang w:val="en-US"/>
        </w:rPr>
        <w:t xml:space="preserve">2,000 </w:t>
      </w:r>
      <w:r>
        <w:rPr>
          <w:rFonts w:ascii="Cambria" w:eastAsia="Cambria" w:hAnsi="Cambria" w:cs="Cambria"/>
          <w:sz w:val="22"/>
          <w:szCs w:val="22"/>
        </w:rPr>
        <w:t>万元</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成立时间</w:t>
      </w:r>
      <w:r>
        <w:rPr>
          <w:rFonts w:ascii="Times"/>
          <w:sz w:val="22"/>
          <w:szCs w:val="22"/>
          <w:lang w:val="en-US"/>
        </w:rPr>
        <w:t>:</w:t>
      </w:r>
      <w:r>
        <w:rPr>
          <w:rFonts w:ascii="Times New Roman"/>
          <w:sz w:val="22"/>
          <w:szCs w:val="22"/>
          <w:lang w:val="en-US"/>
        </w:rPr>
        <w:t xml:space="preserve">2005 </w:t>
      </w:r>
      <w:r>
        <w:rPr>
          <w:rFonts w:ascii="Cambria" w:eastAsia="Cambria" w:hAnsi="Cambria" w:cs="Cambria"/>
          <w:sz w:val="22"/>
          <w:szCs w:val="22"/>
        </w:rPr>
        <w:t>年</w:t>
      </w:r>
      <w:r>
        <w:rPr>
          <w:rFonts w:ascii="Times"/>
          <w:sz w:val="22"/>
          <w:szCs w:val="22"/>
          <w:lang w:val="en-US"/>
        </w:rPr>
        <w:t xml:space="preserve"> </w:t>
      </w:r>
      <w:r>
        <w:rPr>
          <w:rFonts w:ascii="Times New Roman"/>
          <w:sz w:val="22"/>
          <w:szCs w:val="22"/>
          <w:lang w:val="en-US"/>
        </w:rPr>
        <w:t xml:space="preserve">1 </w:t>
      </w:r>
      <w:r>
        <w:rPr>
          <w:rFonts w:ascii="Cambria" w:eastAsia="Cambria" w:hAnsi="Cambria" w:cs="Cambria"/>
          <w:sz w:val="22"/>
          <w:szCs w:val="22"/>
        </w:rPr>
        <w:t>月</w:t>
      </w:r>
      <w:r>
        <w:rPr>
          <w:rFonts w:ascii="Times"/>
          <w:sz w:val="22"/>
          <w:szCs w:val="22"/>
          <w:lang w:val="en-US"/>
        </w:rPr>
        <w:t xml:space="preserve"> </w:t>
      </w:r>
      <w:r>
        <w:rPr>
          <w:rFonts w:ascii="Times New Roman"/>
          <w:sz w:val="22"/>
          <w:szCs w:val="22"/>
          <w:lang w:val="en-US"/>
        </w:rPr>
        <w:t xml:space="preserve">26 </w:t>
      </w:r>
      <w:r>
        <w:rPr>
          <w:rFonts w:ascii="Cambria" w:eastAsia="Cambria" w:hAnsi="Cambria" w:cs="Cambria"/>
          <w:sz w:val="22"/>
          <w:szCs w:val="22"/>
        </w:rPr>
        <w:t>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经营范围</w:t>
      </w:r>
      <w:r>
        <w:rPr>
          <w:rFonts w:ascii="Times"/>
          <w:sz w:val="22"/>
          <w:szCs w:val="22"/>
          <w:lang w:val="en-US"/>
        </w:rPr>
        <w:t>:</w:t>
      </w:r>
      <w:r>
        <w:rPr>
          <w:rFonts w:ascii="Cambria" w:eastAsia="Cambria" w:hAnsi="Cambria" w:cs="Cambria"/>
          <w:sz w:val="22"/>
          <w:szCs w:val="22"/>
        </w:rPr>
        <w:t>图书、报纸、期刊、电子出版物批发、零售</w:t>
      </w:r>
      <w:r>
        <w:rPr>
          <w:rFonts w:ascii="Times"/>
          <w:sz w:val="22"/>
          <w:szCs w:val="22"/>
          <w:lang w:val="en-US"/>
        </w:rPr>
        <w:t>(</w:t>
      </w:r>
      <w:r>
        <w:rPr>
          <w:rFonts w:ascii="Cambria" w:eastAsia="Cambria" w:hAnsi="Cambria" w:cs="Cambria"/>
          <w:sz w:val="22"/>
          <w:szCs w:val="22"/>
        </w:rPr>
        <w:t>有效期至</w:t>
      </w:r>
      <w:r>
        <w:rPr>
          <w:rFonts w:ascii="Times"/>
          <w:sz w:val="22"/>
          <w:szCs w:val="22"/>
          <w:lang w:val="en-US"/>
        </w:rPr>
        <w:t xml:space="preserve"> </w:t>
      </w:r>
      <w:r>
        <w:rPr>
          <w:rFonts w:ascii="Times New Roman"/>
          <w:sz w:val="22"/>
          <w:szCs w:val="22"/>
          <w:lang w:val="en-US"/>
        </w:rPr>
        <w:t xml:space="preserve">2015 </w:t>
      </w:r>
      <w:r>
        <w:rPr>
          <w:rFonts w:ascii="Cambria" w:eastAsia="Cambria" w:hAnsi="Cambria" w:cs="Cambria"/>
          <w:sz w:val="22"/>
          <w:szCs w:val="22"/>
        </w:rPr>
        <w:t>年</w:t>
      </w:r>
      <w:r>
        <w:rPr>
          <w:rFonts w:ascii="Times"/>
          <w:sz w:val="22"/>
          <w:szCs w:val="22"/>
          <w:lang w:val="en-US"/>
        </w:rPr>
        <w:t xml:space="preserve"> </w:t>
      </w:r>
      <w:r>
        <w:rPr>
          <w:rFonts w:ascii="Times New Roman"/>
          <w:sz w:val="22"/>
          <w:szCs w:val="22"/>
          <w:lang w:val="en-US"/>
        </w:rPr>
        <w:t xml:space="preserve">12 </w:t>
      </w:r>
      <w:r>
        <w:rPr>
          <w:rFonts w:ascii="Cambria" w:eastAsia="Cambria" w:hAnsi="Cambria" w:cs="Cambria"/>
          <w:sz w:val="22"/>
          <w:szCs w:val="22"/>
        </w:rPr>
        <w:t>月</w:t>
      </w:r>
      <w:r>
        <w:rPr>
          <w:rFonts w:ascii="Times"/>
          <w:sz w:val="22"/>
          <w:szCs w:val="22"/>
          <w:lang w:val="en-US"/>
        </w:rPr>
        <w:t xml:space="preserve"> </w:t>
      </w:r>
      <w:r>
        <w:rPr>
          <w:rFonts w:ascii="Times New Roman"/>
          <w:sz w:val="22"/>
          <w:szCs w:val="22"/>
          <w:lang w:val="en-US"/>
        </w:rPr>
        <w:t xml:space="preserve">31 </w:t>
      </w:r>
      <w:r>
        <w:rPr>
          <w:rFonts w:ascii="Cambria" w:eastAsia="Cambria" w:hAnsi="Cambria" w:cs="Cambria"/>
          <w:sz w:val="22"/>
          <w:szCs w:val="22"/>
        </w:rPr>
        <w:t>日止</w:t>
      </w:r>
      <w:r>
        <w:rPr>
          <w:rFonts w:ascii="Times"/>
          <w:sz w:val="22"/>
          <w:szCs w:val="22"/>
          <w:lang w:val="en-US"/>
        </w:rPr>
        <w:t>);</w:t>
      </w:r>
      <w:r>
        <w:rPr>
          <w:rFonts w:ascii="Cambria" w:eastAsia="Cambria" w:hAnsi="Cambria" w:cs="Cambria"/>
          <w:sz w:val="22"/>
          <w:szCs w:val="22"/>
        </w:rPr>
        <w:t>中国内地出版的图书内容的网路</w:t>
      </w:r>
      <w:r>
        <w:rPr>
          <w:rFonts w:ascii="Times"/>
          <w:sz w:val="22"/>
          <w:szCs w:val="22"/>
          <w:lang w:val="en-US"/>
        </w:rPr>
        <w:t>(</w:t>
      </w:r>
      <w:r>
        <w:rPr>
          <w:rFonts w:ascii="Cambria" w:eastAsia="Cambria" w:hAnsi="Cambria" w:cs="Cambria"/>
          <w:sz w:val="22"/>
          <w:szCs w:val="22"/>
        </w:rPr>
        <w:t>含手机网络</w:t>
      </w:r>
      <w:r>
        <w:rPr>
          <w:rFonts w:ascii="Times"/>
          <w:sz w:val="22"/>
          <w:szCs w:val="22"/>
          <w:lang w:val="en-US"/>
        </w:rPr>
        <w:t>)</w:t>
      </w:r>
      <w:r>
        <w:rPr>
          <w:rFonts w:ascii="Cambria" w:eastAsia="Cambria" w:hAnsi="Cambria" w:cs="Cambria"/>
          <w:sz w:val="22"/>
          <w:szCs w:val="22"/>
        </w:rPr>
        <w:t>传播</w:t>
      </w:r>
      <w:r>
        <w:rPr>
          <w:rFonts w:ascii="Times"/>
          <w:sz w:val="22"/>
          <w:szCs w:val="22"/>
          <w:lang w:val="en-US"/>
        </w:rPr>
        <w:t>(</w:t>
      </w:r>
      <w:r>
        <w:rPr>
          <w:rFonts w:ascii="Cambria" w:eastAsia="Cambria" w:hAnsi="Cambria" w:cs="Cambria"/>
          <w:sz w:val="22"/>
          <w:szCs w:val="22"/>
        </w:rPr>
        <w:t>互联网</w:t>
      </w:r>
      <w:r>
        <w:rPr>
          <w:rFonts w:ascii="Times"/>
          <w:sz w:val="22"/>
          <w:szCs w:val="22"/>
          <w:lang w:val="en-US"/>
        </w:rPr>
        <w:t xml:space="preserve"> </w:t>
      </w:r>
      <w:r>
        <w:rPr>
          <w:rFonts w:ascii="Cambria" w:eastAsia="Cambria" w:hAnsi="Cambria" w:cs="Cambria"/>
          <w:sz w:val="22"/>
          <w:szCs w:val="22"/>
        </w:rPr>
        <w:t>出版许可证有效期至</w:t>
      </w:r>
      <w:r>
        <w:rPr>
          <w:rFonts w:ascii="Times"/>
          <w:sz w:val="22"/>
          <w:szCs w:val="22"/>
          <w:lang w:val="en-US"/>
        </w:rPr>
        <w:t xml:space="preserve"> </w:t>
      </w:r>
      <w:r>
        <w:rPr>
          <w:rFonts w:ascii="Times New Roman"/>
          <w:sz w:val="22"/>
          <w:szCs w:val="22"/>
          <w:lang w:val="en-US"/>
        </w:rPr>
        <w:t xml:space="preserve">2016 </w:t>
      </w:r>
      <w:r>
        <w:rPr>
          <w:rFonts w:ascii="Cambria" w:eastAsia="Cambria" w:hAnsi="Cambria" w:cs="Cambria"/>
          <w:sz w:val="22"/>
          <w:szCs w:val="22"/>
        </w:rPr>
        <w:t>年</w:t>
      </w:r>
      <w:r>
        <w:rPr>
          <w:rFonts w:ascii="Times"/>
          <w:sz w:val="22"/>
          <w:szCs w:val="22"/>
          <w:lang w:val="en-US"/>
        </w:rPr>
        <w:t xml:space="preserve"> </w:t>
      </w:r>
      <w:r>
        <w:rPr>
          <w:rFonts w:ascii="Times New Roman"/>
          <w:sz w:val="22"/>
          <w:szCs w:val="22"/>
          <w:lang w:val="en-US"/>
        </w:rPr>
        <w:t xml:space="preserve">12 </w:t>
      </w:r>
      <w:r>
        <w:rPr>
          <w:rFonts w:ascii="Cambria" w:eastAsia="Cambria" w:hAnsi="Cambria" w:cs="Cambria"/>
          <w:sz w:val="22"/>
          <w:szCs w:val="22"/>
        </w:rPr>
        <w:t>月</w:t>
      </w:r>
      <w:r>
        <w:rPr>
          <w:rFonts w:ascii="Times"/>
          <w:sz w:val="22"/>
          <w:szCs w:val="22"/>
          <w:lang w:val="en-US"/>
        </w:rPr>
        <w:t xml:space="preserve"> </w:t>
      </w:r>
      <w:r>
        <w:rPr>
          <w:rFonts w:ascii="Times New Roman"/>
          <w:sz w:val="22"/>
          <w:szCs w:val="22"/>
          <w:lang w:val="en-US"/>
        </w:rPr>
        <w:t xml:space="preserve">31 </w:t>
      </w:r>
      <w:r>
        <w:rPr>
          <w:rFonts w:ascii="Cambria" w:eastAsia="Cambria" w:hAnsi="Cambria" w:cs="Cambria"/>
          <w:sz w:val="22"/>
          <w:szCs w:val="22"/>
        </w:rPr>
        <w:t>日</w:t>
      </w:r>
      <w:r>
        <w:rPr>
          <w:rFonts w:ascii="Times"/>
          <w:sz w:val="22"/>
          <w:szCs w:val="22"/>
          <w:lang w:val="en-US"/>
        </w:rPr>
        <w:t>);</w:t>
      </w:r>
      <w:r>
        <w:rPr>
          <w:rFonts w:ascii="Cambria" w:eastAsia="Cambria" w:hAnsi="Cambria" w:cs="Cambria"/>
          <w:sz w:val="22"/>
          <w:szCs w:val="22"/>
        </w:rPr>
        <w:t>设计、制作、代理、发布广告</w:t>
      </w:r>
      <w:r>
        <w:rPr>
          <w:rFonts w:ascii="Times"/>
          <w:sz w:val="22"/>
          <w:szCs w:val="22"/>
          <w:lang w:val="en-US"/>
        </w:rPr>
        <w:t>;</w:t>
      </w:r>
      <w:r>
        <w:rPr>
          <w:rFonts w:ascii="Cambria" w:eastAsia="Cambria" w:hAnsi="Cambria" w:cs="Cambria"/>
          <w:sz w:val="22"/>
          <w:szCs w:val="22"/>
        </w:rPr>
        <w:t>销售</w:t>
      </w:r>
      <w:r>
        <w:rPr>
          <w:rFonts w:ascii="Times"/>
          <w:sz w:val="22"/>
          <w:szCs w:val="22"/>
          <w:lang w:val="en-US"/>
        </w:rPr>
        <w:t xml:space="preserve"> </w:t>
      </w:r>
      <w:r>
        <w:rPr>
          <w:rFonts w:ascii="Cambria" w:eastAsia="Cambria" w:hAnsi="Cambria" w:cs="Cambria"/>
          <w:sz w:val="22"/>
          <w:szCs w:val="22"/>
        </w:rPr>
        <w:t>文化用品、工艺品</w:t>
      </w:r>
      <w:r>
        <w:rPr>
          <w:rFonts w:ascii="Times"/>
          <w:sz w:val="22"/>
          <w:szCs w:val="22"/>
          <w:lang w:val="en-US"/>
        </w:rPr>
        <w:t>;</w:t>
      </w:r>
      <w:r>
        <w:rPr>
          <w:rFonts w:ascii="Cambria" w:eastAsia="Cambria" w:hAnsi="Cambria" w:cs="Cambria"/>
          <w:sz w:val="22"/>
          <w:szCs w:val="22"/>
        </w:rPr>
        <w:t>企业策划</w:t>
      </w:r>
      <w:r>
        <w:rPr>
          <w:rFonts w:ascii="Times"/>
          <w:sz w:val="22"/>
          <w:szCs w:val="22"/>
          <w:lang w:val="en-US"/>
        </w:rPr>
        <w:t>;</w:t>
      </w:r>
      <w:r>
        <w:rPr>
          <w:rFonts w:ascii="Cambria" w:eastAsia="Cambria" w:hAnsi="Cambria" w:cs="Cambria"/>
          <w:sz w:val="22"/>
          <w:szCs w:val="22"/>
        </w:rPr>
        <w:t>组织文化艺术交流活动</w:t>
      </w:r>
      <w:r>
        <w:rPr>
          <w:rFonts w:ascii="Times"/>
          <w:sz w:val="22"/>
          <w:szCs w:val="22"/>
          <w:lang w:val="en-US"/>
        </w:rPr>
        <w:t>(</w:t>
      </w:r>
      <w:r>
        <w:rPr>
          <w:rFonts w:ascii="Cambria" w:eastAsia="Cambria" w:hAnsi="Cambria" w:cs="Cambria"/>
          <w:sz w:val="22"/>
          <w:szCs w:val="22"/>
        </w:rPr>
        <w:t>不含演出</w:t>
      </w:r>
      <w:r>
        <w:rPr>
          <w:rFonts w:ascii="Times"/>
          <w:sz w:val="22"/>
          <w:szCs w:val="22"/>
          <w:lang w:val="en-US"/>
        </w:rPr>
        <w:t>)</w:t>
      </w:r>
      <w:r>
        <w:rPr>
          <w:rFonts w:ascii="Cambria" w:eastAsia="Cambria" w:hAnsi="Cambria" w:cs="Cambria"/>
          <w:sz w:val="22"/>
          <w:szCs w:val="22"/>
        </w:rPr>
        <w:t>。</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精典博维是立足图书策划、版权管理、内容创意加电子阅读为主</w:t>
      </w:r>
      <w:r>
        <w:rPr>
          <w:rFonts w:ascii="Times"/>
          <w:sz w:val="22"/>
          <w:szCs w:val="22"/>
          <w:lang w:val="en-US"/>
        </w:rPr>
        <w:t>,</w:t>
      </w:r>
      <w:r>
        <w:rPr>
          <w:rFonts w:ascii="Cambria" w:eastAsia="Cambria" w:hAnsi="Cambria" w:cs="Cambria"/>
          <w:sz w:val="22"/>
          <w:szCs w:val="22"/>
        </w:rPr>
        <w:t>并辅以影</w:t>
      </w:r>
      <w:r>
        <w:rPr>
          <w:rFonts w:ascii="Times"/>
          <w:sz w:val="22"/>
          <w:szCs w:val="22"/>
          <w:lang w:val="en-US"/>
        </w:rPr>
        <w:t xml:space="preserve"> </w:t>
      </w:r>
      <w:r>
        <w:rPr>
          <w:rFonts w:ascii="Cambria" w:eastAsia="Cambria" w:hAnsi="Cambria" w:cs="Cambria"/>
          <w:sz w:val="22"/>
          <w:szCs w:val="22"/>
        </w:rPr>
        <w:t>视推荐及名家经纪业务的文化传媒企业。精典博维目前主营业务包括图书策划与</w:t>
      </w:r>
      <w:r>
        <w:rPr>
          <w:rFonts w:ascii="Times"/>
          <w:sz w:val="22"/>
          <w:szCs w:val="22"/>
          <w:lang w:val="en-US"/>
        </w:rPr>
        <w:t xml:space="preserve"> </w:t>
      </w:r>
      <w:r>
        <w:rPr>
          <w:rFonts w:ascii="Cambria" w:eastAsia="Cambria" w:hAnsi="Cambria" w:cs="Cambria"/>
          <w:sz w:val="22"/>
          <w:szCs w:val="22"/>
        </w:rPr>
        <w:t>发行、图书分销</w:t>
      </w:r>
      <w:r>
        <w:rPr>
          <w:rFonts w:ascii="Times"/>
          <w:sz w:val="22"/>
          <w:szCs w:val="22"/>
          <w:lang w:val="en-US"/>
        </w:rPr>
        <w:t>,</w:t>
      </w:r>
      <w:r>
        <w:rPr>
          <w:rFonts w:ascii="Cambria" w:eastAsia="Cambria" w:hAnsi="Cambria" w:cs="Cambria"/>
          <w:sz w:val="22"/>
          <w:szCs w:val="22"/>
        </w:rPr>
        <w:t>同时积极拓展影视</w:t>
      </w:r>
      <w:r>
        <w:rPr>
          <w:rFonts w:ascii="Times"/>
          <w:sz w:val="22"/>
          <w:szCs w:val="22"/>
          <w:lang w:val="en-US"/>
        </w:rPr>
        <w:t xml:space="preserve"> </w:t>
      </w:r>
      <w:r>
        <w:rPr>
          <w:rFonts w:ascii="Times New Roman"/>
          <w:sz w:val="22"/>
          <w:szCs w:val="22"/>
          <w:lang w:val="en-US"/>
        </w:rPr>
        <w:t xml:space="preserve">IP </w:t>
      </w:r>
      <w:r>
        <w:rPr>
          <w:rFonts w:ascii="Cambria" w:eastAsia="Cambria" w:hAnsi="Cambria" w:cs="Cambria"/>
          <w:sz w:val="22"/>
          <w:szCs w:val="22"/>
        </w:rPr>
        <w:t>改编及推荐、名家经纪、文化投资等业</w:t>
      </w:r>
      <w:r>
        <w:rPr>
          <w:rFonts w:ascii="Times"/>
          <w:sz w:val="22"/>
          <w:szCs w:val="22"/>
          <w:lang w:val="en-US"/>
        </w:rPr>
        <w:t xml:space="preserve"> </w:t>
      </w:r>
      <w:r>
        <w:rPr>
          <w:rFonts w:ascii="Cambria" w:eastAsia="Cambria" w:hAnsi="Cambria" w:cs="Cambria"/>
          <w:sz w:val="22"/>
          <w:szCs w:val="22"/>
        </w:rPr>
        <w:t>务。精典博维的核心优势在于丰富的图书策划经验、优质的版权资源、良好的渠</w:t>
      </w:r>
      <w:r>
        <w:rPr>
          <w:rFonts w:ascii="Times"/>
          <w:sz w:val="22"/>
          <w:szCs w:val="22"/>
          <w:lang w:val="en-US"/>
        </w:rPr>
        <w:t xml:space="preserve"> </w:t>
      </w:r>
      <w:r>
        <w:rPr>
          <w:rFonts w:ascii="Cambria" w:eastAsia="Cambria" w:hAnsi="Cambria" w:cs="Cambria"/>
          <w:sz w:val="22"/>
          <w:szCs w:val="22"/>
        </w:rPr>
        <w:t>道管理和市场营销能力。精典博维初步构建了</w:t>
      </w:r>
      <w:r>
        <w:rPr>
          <w:rFonts w:hAnsi="Times" w:hint="default"/>
          <w:sz w:val="22"/>
          <w:szCs w:val="22"/>
          <w:lang w:val="en-US"/>
        </w:rPr>
        <w:t>“</w:t>
      </w:r>
      <w:r>
        <w:rPr>
          <w:rFonts w:ascii="Cambria" w:eastAsia="Cambria" w:hAnsi="Cambria" w:cs="Cambria"/>
          <w:sz w:val="22"/>
          <w:szCs w:val="22"/>
        </w:rPr>
        <w:t>内容策划</w:t>
      </w:r>
      <w:r>
        <w:rPr>
          <w:rFonts w:ascii="Times New Roman"/>
          <w:sz w:val="22"/>
          <w:szCs w:val="22"/>
          <w:lang w:val="en-US"/>
        </w:rPr>
        <w:t>+</w:t>
      </w:r>
      <w:r>
        <w:rPr>
          <w:rFonts w:ascii="Cambria" w:eastAsia="Cambria" w:hAnsi="Cambria" w:cs="Cambria"/>
          <w:sz w:val="22"/>
          <w:szCs w:val="22"/>
        </w:rPr>
        <w:t>电子阅读</w:t>
      </w:r>
      <w:r>
        <w:rPr>
          <w:rFonts w:ascii="Times New Roman"/>
          <w:sz w:val="22"/>
          <w:szCs w:val="22"/>
          <w:lang w:val="en-US"/>
        </w:rPr>
        <w:t>+</w:t>
      </w:r>
      <w:r>
        <w:rPr>
          <w:rFonts w:ascii="Cambria" w:eastAsia="Cambria" w:hAnsi="Cambria" w:cs="Cambria"/>
          <w:sz w:val="22"/>
          <w:szCs w:val="22"/>
        </w:rPr>
        <w:t>影视推荐</w:t>
      </w:r>
      <w:r>
        <w:rPr>
          <w:rFonts w:ascii="Times"/>
          <w:sz w:val="22"/>
          <w:szCs w:val="22"/>
          <w:lang w:val="en-US"/>
        </w:rPr>
        <w:t xml:space="preserve"> </w:t>
      </w:r>
      <w:r>
        <w:rPr>
          <w:rFonts w:ascii="Cambria" w:eastAsia="Cambria" w:hAnsi="Cambria" w:cs="Cambria"/>
          <w:sz w:val="22"/>
          <w:szCs w:val="22"/>
        </w:rPr>
        <w:t>及投资</w:t>
      </w:r>
      <w:r>
        <w:rPr>
          <w:rFonts w:ascii="Times New Roman"/>
          <w:sz w:val="22"/>
          <w:szCs w:val="22"/>
          <w:lang w:val="en-US"/>
        </w:rPr>
        <w:t>+</w:t>
      </w:r>
      <w:r>
        <w:rPr>
          <w:rFonts w:ascii="Cambria" w:eastAsia="Cambria" w:hAnsi="Cambria" w:cs="Cambria"/>
          <w:sz w:val="22"/>
          <w:szCs w:val="22"/>
        </w:rPr>
        <w:t>名家经纪</w:t>
      </w:r>
      <w:r>
        <w:rPr>
          <w:rFonts w:hAnsi="Times" w:hint="default"/>
          <w:sz w:val="22"/>
          <w:szCs w:val="22"/>
          <w:lang w:val="en-US"/>
        </w:rPr>
        <w:t>”</w:t>
      </w:r>
      <w:r>
        <w:rPr>
          <w:rFonts w:ascii="Cambria" w:eastAsia="Cambria" w:hAnsi="Cambria" w:cs="Cambria"/>
          <w:sz w:val="22"/>
          <w:szCs w:val="22"/>
        </w:rPr>
        <w:t>的业务模式</w:t>
      </w:r>
      <w:r>
        <w:rPr>
          <w:rFonts w:ascii="Times"/>
          <w:sz w:val="22"/>
          <w:szCs w:val="22"/>
          <w:lang w:val="en-US"/>
        </w:rPr>
        <w:t>,</w:t>
      </w:r>
      <w:r>
        <w:rPr>
          <w:rFonts w:ascii="Cambria" w:eastAsia="Cambria" w:hAnsi="Cambria" w:cs="Cambria"/>
          <w:sz w:val="22"/>
          <w:szCs w:val="22"/>
        </w:rPr>
        <w:t>致力于打造以内容为王、全产业链布局的文化</w:t>
      </w:r>
      <w:r>
        <w:rPr>
          <w:rFonts w:ascii="Times"/>
          <w:sz w:val="22"/>
          <w:szCs w:val="22"/>
          <w:lang w:val="en-US"/>
        </w:rPr>
        <w:t xml:space="preserve"> </w:t>
      </w:r>
      <w:r>
        <w:rPr>
          <w:rFonts w:ascii="Cambria" w:eastAsia="Cambria" w:hAnsi="Cambria" w:cs="Cambria"/>
          <w:sz w:val="22"/>
          <w:szCs w:val="22"/>
        </w:rPr>
        <w:t>传媒公司。</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精典博维基于现有的资源优势及战略布局</w:t>
      </w:r>
      <w:r>
        <w:rPr>
          <w:rFonts w:ascii="Times"/>
          <w:sz w:val="22"/>
          <w:szCs w:val="22"/>
          <w:lang w:val="en-US"/>
        </w:rPr>
        <w:t>,</w:t>
      </w:r>
      <w:r>
        <w:rPr>
          <w:rFonts w:ascii="Cambria" w:eastAsia="Cambria" w:hAnsi="Cambria" w:cs="Cambria"/>
          <w:sz w:val="22"/>
          <w:szCs w:val="22"/>
        </w:rPr>
        <w:t>未来会形成以传统图书策划发</w:t>
      </w:r>
      <w:r>
        <w:rPr>
          <w:rFonts w:ascii="Times"/>
          <w:sz w:val="22"/>
          <w:szCs w:val="22"/>
          <w:lang w:val="en-US"/>
        </w:rPr>
        <w:t xml:space="preserve"> </w:t>
      </w:r>
      <w:r>
        <w:rPr>
          <w:rFonts w:ascii="Cambria" w:eastAsia="Cambria" w:hAnsi="Cambria" w:cs="Cambria"/>
          <w:sz w:val="22"/>
          <w:szCs w:val="22"/>
        </w:rPr>
        <w:t>行和名家经纪业务为基础的文化产业业务链</w:t>
      </w:r>
      <w:r>
        <w:rPr>
          <w:rFonts w:ascii="Times"/>
          <w:sz w:val="22"/>
          <w:szCs w:val="22"/>
          <w:lang w:val="en-US"/>
        </w:rPr>
        <w:t>,</w:t>
      </w:r>
      <w:r>
        <w:rPr>
          <w:rFonts w:ascii="Cambria" w:eastAsia="Cambria" w:hAnsi="Cambria" w:cs="Cambria"/>
          <w:sz w:val="22"/>
          <w:szCs w:val="22"/>
        </w:rPr>
        <w:t>主要包括以下业务板块</w:t>
      </w:r>
      <w:r>
        <w:rPr>
          <w:rFonts w:ascii="Times"/>
          <w:sz w:val="22"/>
          <w:szCs w:val="22"/>
          <w:lang w:val="en-US"/>
        </w:rPr>
        <w:t>:(</w:t>
      </w:r>
      <w:r>
        <w:rPr>
          <w:rFonts w:ascii="Times New Roman"/>
          <w:sz w:val="22"/>
          <w:szCs w:val="22"/>
          <w:lang w:val="en-US"/>
        </w:rPr>
        <w:t>1</w:t>
      </w:r>
      <w:r>
        <w:rPr>
          <w:rFonts w:ascii="Times"/>
          <w:sz w:val="22"/>
          <w:szCs w:val="22"/>
          <w:lang w:val="en-US"/>
        </w:rPr>
        <w:t>)</w:t>
      </w:r>
      <w:r>
        <w:rPr>
          <w:rFonts w:ascii="Cambria" w:eastAsia="Cambria" w:hAnsi="Cambria" w:cs="Cambria"/>
          <w:sz w:val="22"/>
          <w:szCs w:val="22"/>
        </w:rPr>
        <w:t>文学</w:t>
      </w:r>
      <w:r>
        <w:rPr>
          <w:rFonts w:ascii="Times"/>
          <w:sz w:val="22"/>
          <w:szCs w:val="22"/>
          <w:lang w:val="en-US"/>
        </w:rPr>
        <w:t xml:space="preserve"> </w:t>
      </w:r>
      <w:r>
        <w:rPr>
          <w:rFonts w:ascii="Cambria" w:eastAsia="Cambria" w:hAnsi="Cambria" w:cs="Cambria"/>
          <w:sz w:val="22"/>
          <w:szCs w:val="22"/>
        </w:rPr>
        <w:t>图书的策划发行业务</w:t>
      </w:r>
      <w:r>
        <w:rPr>
          <w:rFonts w:ascii="Times"/>
          <w:sz w:val="22"/>
          <w:szCs w:val="22"/>
          <w:lang w:val="en-US"/>
        </w:rPr>
        <w:t>;(</w:t>
      </w:r>
      <w:r>
        <w:rPr>
          <w:rFonts w:ascii="Times New Roman"/>
          <w:sz w:val="22"/>
          <w:szCs w:val="22"/>
          <w:lang w:val="en-US"/>
        </w:rPr>
        <w:t>2</w:t>
      </w:r>
      <w:r>
        <w:rPr>
          <w:rFonts w:ascii="Times"/>
          <w:sz w:val="22"/>
          <w:szCs w:val="22"/>
          <w:lang w:val="en-US"/>
        </w:rPr>
        <w:t>)</w:t>
      </w:r>
      <w:r>
        <w:rPr>
          <w:rFonts w:ascii="Cambria" w:eastAsia="Cambria" w:hAnsi="Cambria" w:cs="Cambria"/>
          <w:sz w:val="22"/>
          <w:szCs w:val="22"/>
        </w:rPr>
        <w:t>旅游出版物的发行业务</w:t>
      </w:r>
      <w:r>
        <w:rPr>
          <w:rFonts w:ascii="Times"/>
          <w:sz w:val="22"/>
          <w:szCs w:val="22"/>
          <w:lang w:val="en-US"/>
        </w:rPr>
        <w:t>;(</w:t>
      </w:r>
      <w:r>
        <w:rPr>
          <w:rFonts w:ascii="Times New Roman"/>
          <w:sz w:val="22"/>
          <w:szCs w:val="22"/>
          <w:lang w:val="en-US"/>
        </w:rPr>
        <w:t>3</w:t>
      </w:r>
      <w:r>
        <w:rPr>
          <w:rFonts w:ascii="Times"/>
          <w:sz w:val="22"/>
          <w:szCs w:val="22"/>
          <w:lang w:val="en-US"/>
        </w:rPr>
        <w:t>)</w:t>
      </w:r>
      <w:r>
        <w:rPr>
          <w:rFonts w:ascii="Cambria" w:eastAsia="Cambria" w:hAnsi="Cambria" w:cs="Cambria"/>
          <w:sz w:val="22"/>
          <w:szCs w:val="22"/>
        </w:rPr>
        <w:t>名家经纪业务</w:t>
      </w:r>
      <w:r>
        <w:rPr>
          <w:rFonts w:ascii="Times"/>
          <w:sz w:val="22"/>
          <w:szCs w:val="22"/>
          <w:lang w:val="en-US"/>
        </w:rPr>
        <w:t>;(</w:t>
      </w:r>
      <w:r>
        <w:rPr>
          <w:rFonts w:ascii="Times New Roman"/>
          <w:sz w:val="22"/>
          <w:szCs w:val="22"/>
          <w:lang w:val="en-US"/>
        </w:rPr>
        <w:t>4</w:t>
      </w:r>
      <w:r>
        <w:rPr>
          <w:rFonts w:ascii="Times"/>
          <w:sz w:val="22"/>
          <w:szCs w:val="22"/>
          <w:lang w:val="en-US"/>
        </w:rPr>
        <w:t>)</w:t>
      </w:r>
      <w:r>
        <w:rPr>
          <w:rFonts w:ascii="Cambria" w:eastAsia="Cambria" w:hAnsi="Cambria" w:cs="Cambria"/>
          <w:sz w:val="22"/>
          <w:szCs w:val="22"/>
        </w:rPr>
        <w:t>在</w:t>
      </w:r>
      <w:r>
        <w:rPr>
          <w:rFonts w:ascii="Times"/>
          <w:sz w:val="22"/>
          <w:szCs w:val="22"/>
          <w:lang w:val="en-US"/>
        </w:rPr>
        <w:t xml:space="preserve"> </w:t>
      </w:r>
      <w:r>
        <w:rPr>
          <w:rFonts w:ascii="Cambria" w:eastAsia="Cambria" w:hAnsi="Cambria" w:cs="Cambria"/>
          <w:sz w:val="22"/>
          <w:szCs w:val="22"/>
        </w:rPr>
        <w:t>线文学推广运营及影视改编代理版权购销业务。</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2</w:t>
      </w:r>
      <w:r>
        <w:rPr>
          <w:rFonts w:ascii="Cambria" w:eastAsia="Cambria" w:hAnsi="Cambria" w:cs="Cambria"/>
          <w:sz w:val="22"/>
          <w:szCs w:val="22"/>
        </w:rPr>
        <w:t>、标的资产主要财务状况</w:t>
      </w:r>
      <w:r>
        <w:rPr>
          <w:rFonts w:ascii="Times"/>
          <w:sz w:val="22"/>
          <w:szCs w:val="22"/>
          <w:lang w:val="en-US"/>
        </w:rPr>
        <w:t xml:space="preserve"> </w:t>
      </w:r>
      <w:r>
        <w:rPr>
          <w:rFonts w:ascii="Cambria" w:eastAsia="Cambria" w:hAnsi="Cambria" w:cs="Cambria"/>
          <w:sz w:val="22"/>
          <w:szCs w:val="22"/>
        </w:rPr>
        <w:t>经瑞华会计师事务所</w:t>
      </w:r>
      <w:r>
        <w:rPr>
          <w:rFonts w:ascii="Times"/>
          <w:sz w:val="22"/>
          <w:szCs w:val="22"/>
          <w:lang w:val="en-US"/>
        </w:rPr>
        <w:t>(</w:t>
      </w:r>
      <w:r>
        <w:rPr>
          <w:rFonts w:ascii="Cambria" w:eastAsia="Cambria" w:hAnsi="Cambria" w:cs="Cambria"/>
          <w:sz w:val="22"/>
          <w:szCs w:val="22"/>
        </w:rPr>
        <w:t>特殊普通合伙</w:t>
      </w:r>
      <w:r>
        <w:rPr>
          <w:rFonts w:ascii="Times"/>
          <w:sz w:val="22"/>
          <w:szCs w:val="22"/>
          <w:lang w:val="en-US"/>
        </w:rPr>
        <w:t>)</w:t>
      </w:r>
      <w:r>
        <w:rPr>
          <w:rFonts w:ascii="Cambria" w:eastAsia="Cambria" w:hAnsi="Cambria" w:cs="Cambria"/>
          <w:sz w:val="22"/>
          <w:szCs w:val="22"/>
        </w:rPr>
        <w:t>浙江分所出具的瑞华浙专审字</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 xml:space="preserve">[2015]33090002 </w:t>
      </w:r>
      <w:r>
        <w:rPr>
          <w:rFonts w:ascii="Cambria" w:eastAsia="Cambria" w:hAnsi="Cambria" w:cs="Cambria"/>
          <w:sz w:val="22"/>
          <w:szCs w:val="22"/>
        </w:rPr>
        <w:t>号</w:t>
      </w:r>
      <w:r>
        <w:rPr>
          <w:rFonts w:ascii="Times"/>
          <w:sz w:val="22"/>
          <w:szCs w:val="22"/>
          <w:lang w:val="en-US"/>
        </w:rPr>
        <w:t>,</w:t>
      </w:r>
      <w:r>
        <w:rPr>
          <w:rFonts w:ascii="Cambria" w:eastAsia="Cambria" w:hAnsi="Cambria" w:cs="Cambria"/>
          <w:sz w:val="22"/>
          <w:szCs w:val="22"/>
        </w:rPr>
        <w:t>截至</w:t>
      </w:r>
      <w:r>
        <w:rPr>
          <w:rFonts w:ascii="Times"/>
          <w:sz w:val="22"/>
          <w:szCs w:val="22"/>
          <w:lang w:val="en-US"/>
        </w:rPr>
        <w:t xml:space="preserve"> </w:t>
      </w:r>
      <w:r>
        <w:rPr>
          <w:rFonts w:ascii="Times New Roman"/>
          <w:sz w:val="22"/>
          <w:szCs w:val="22"/>
          <w:lang w:val="en-US"/>
        </w:rPr>
        <w:t xml:space="preserve">2014 </w:t>
      </w:r>
      <w:r>
        <w:rPr>
          <w:rFonts w:ascii="Cambria" w:eastAsia="Cambria" w:hAnsi="Cambria" w:cs="Cambria"/>
          <w:sz w:val="22"/>
          <w:szCs w:val="22"/>
        </w:rPr>
        <w:t>年</w:t>
      </w:r>
      <w:r>
        <w:rPr>
          <w:rFonts w:ascii="Times"/>
          <w:sz w:val="22"/>
          <w:szCs w:val="22"/>
          <w:lang w:val="en-US"/>
        </w:rPr>
        <w:t xml:space="preserve"> </w:t>
      </w:r>
      <w:r>
        <w:rPr>
          <w:rFonts w:ascii="Times New Roman"/>
          <w:sz w:val="22"/>
          <w:szCs w:val="22"/>
          <w:lang w:val="en-US"/>
        </w:rPr>
        <w:t xml:space="preserve">12 </w:t>
      </w:r>
      <w:r>
        <w:rPr>
          <w:rFonts w:ascii="Cambria" w:eastAsia="Cambria" w:hAnsi="Cambria" w:cs="Cambria"/>
          <w:sz w:val="22"/>
          <w:szCs w:val="22"/>
        </w:rPr>
        <w:t>月</w:t>
      </w:r>
      <w:r>
        <w:rPr>
          <w:rFonts w:ascii="Times"/>
          <w:sz w:val="22"/>
          <w:szCs w:val="22"/>
          <w:lang w:val="en-US"/>
        </w:rPr>
        <w:t xml:space="preserve"> </w:t>
      </w:r>
      <w:r>
        <w:rPr>
          <w:rFonts w:ascii="Times New Roman"/>
          <w:sz w:val="22"/>
          <w:szCs w:val="22"/>
          <w:lang w:val="en-US"/>
        </w:rPr>
        <w:t xml:space="preserve">31 </w:t>
      </w:r>
      <w:r>
        <w:rPr>
          <w:rFonts w:ascii="Cambria" w:eastAsia="Cambria" w:hAnsi="Cambria" w:cs="Cambria"/>
          <w:sz w:val="22"/>
          <w:szCs w:val="22"/>
        </w:rPr>
        <w:t>日</w:t>
      </w:r>
      <w:r>
        <w:rPr>
          <w:rFonts w:ascii="Times"/>
          <w:sz w:val="22"/>
          <w:szCs w:val="22"/>
          <w:lang w:val="en-US"/>
        </w:rPr>
        <w:t>,</w:t>
      </w:r>
      <w:r>
        <w:rPr>
          <w:rFonts w:ascii="Cambria" w:eastAsia="Cambria" w:hAnsi="Cambria" w:cs="Cambria"/>
          <w:sz w:val="22"/>
          <w:szCs w:val="22"/>
        </w:rPr>
        <w:t>精典博维的主要财务数据如下</w:t>
      </w:r>
      <w:r>
        <w:rPr>
          <w:rFonts w:ascii="Times"/>
          <w:sz w:val="22"/>
          <w:szCs w:val="22"/>
          <w:lang w:val="en-US"/>
        </w:rPr>
        <w:t xml:space="preserve">: </w:t>
      </w:r>
    </w:p>
    <w:p w:rsidR="003A5CE8" w:rsidRDefault="007038D7">
      <w:pPr>
        <w:pStyle w:val="B"/>
        <w:widowControl w:val="0"/>
        <w:spacing w:after="240"/>
        <w:rPr>
          <w:rFonts w:ascii="Times" w:eastAsia="Times" w:hAnsi="Times" w:cs="Times" w:hint="default"/>
          <w:sz w:val="22"/>
          <w:szCs w:val="22"/>
        </w:rPr>
      </w:pPr>
      <w:r>
        <w:rPr>
          <w:rFonts w:ascii="Cambria" w:eastAsia="Cambria" w:hAnsi="Cambria" w:cs="Cambria"/>
          <w:sz w:val="22"/>
          <w:szCs w:val="22"/>
        </w:rPr>
        <w:t>单位</w:t>
      </w:r>
      <w:r>
        <w:rPr>
          <w:rFonts w:ascii="Times"/>
          <w:sz w:val="22"/>
          <w:szCs w:val="22"/>
          <w:lang w:val="en-US"/>
        </w:rPr>
        <w:t>:</w:t>
      </w:r>
      <w:r>
        <w:rPr>
          <w:rFonts w:ascii="Cambria" w:eastAsia="Cambria" w:hAnsi="Cambria" w:cs="Cambria"/>
          <w:sz w:val="22"/>
          <w:szCs w:val="22"/>
        </w:rPr>
        <w:t>人民币万元</w:t>
      </w:r>
      <w:r>
        <w:rPr>
          <w:rFonts w:ascii="Times"/>
          <w:sz w:val="22"/>
          <w:szCs w:val="22"/>
          <w:lang w:val="en-US"/>
        </w:rPr>
        <w:t xml:space="preserve"> </w:t>
      </w:r>
    </w:p>
    <w:tbl>
      <w:tblPr>
        <w:tblStyle w:val="TableNormal"/>
        <w:tblW w:w="968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392"/>
        <w:gridCol w:w="4292"/>
      </w:tblGrid>
      <w:tr w:rsidR="003A5CE8">
        <w:trPr>
          <w:trHeight w:val="35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项目</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2014</w:t>
            </w:r>
            <w:r>
              <w:rPr>
                <w:rFonts w:ascii="Cambria" w:eastAsia="Cambria" w:hAnsi="Cambria" w:cs="Cambria"/>
                <w:sz w:val="22"/>
                <w:szCs w:val="22"/>
              </w:rPr>
              <w:t>年</w:t>
            </w:r>
            <w:r>
              <w:rPr>
                <w:rFonts w:ascii="Times"/>
                <w:sz w:val="22"/>
                <w:szCs w:val="22"/>
                <w:lang w:val="en-US"/>
              </w:rPr>
              <w:t>12</w:t>
            </w:r>
            <w:r>
              <w:rPr>
                <w:rFonts w:ascii="Cambria" w:eastAsia="Cambria" w:hAnsi="Cambria" w:cs="Cambria"/>
                <w:sz w:val="22"/>
                <w:szCs w:val="22"/>
              </w:rPr>
              <w:t>月</w:t>
            </w:r>
            <w:r>
              <w:rPr>
                <w:rFonts w:ascii="Times"/>
                <w:sz w:val="22"/>
                <w:szCs w:val="22"/>
                <w:lang w:val="en-US"/>
              </w:rPr>
              <w:t>31</w:t>
            </w:r>
            <w:r>
              <w:rPr>
                <w:rFonts w:ascii="Cambria" w:eastAsia="Cambria" w:hAnsi="Cambria" w:cs="Cambria"/>
                <w:sz w:val="22"/>
                <w:szCs w:val="22"/>
              </w:rPr>
              <w:t>日</w:t>
            </w:r>
          </w:p>
        </w:tc>
      </w:tr>
      <w:tr w:rsidR="003A5CE8">
        <w:trPr>
          <w:trHeight w:val="35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资产合计</w:t>
            </w:r>
            <w:r>
              <w:rPr>
                <w:rFonts w:ascii="Times"/>
                <w:sz w:val="22"/>
                <w:szCs w:val="22"/>
                <w:lang w:val="en-US"/>
              </w:rPr>
              <w:t xml:space="preserve">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7,792.34 </w:t>
            </w:r>
          </w:p>
        </w:tc>
      </w:tr>
      <w:tr w:rsidR="003A5CE8">
        <w:trPr>
          <w:trHeight w:val="103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负债合计</w:t>
            </w:r>
            <w:r>
              <w:rPr>
                <w:rFonts w:ascii="Times"/>
                <w:sz w:val="22"/>
                <w:szCs w:val="22"/>
                <w:lang w:val="en-US"/>
              </w:rPr>
              <w:t xml:space="preserve">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1638937" cy="6988"/>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image1.png"/>
                          <pic:cNvPicPr/>
                        </pic:nvPicPr>
                        <pic:blipFill>
                          <a:blip r:embed="rId12">
                            <a:extLst/>
                          </a:blip>
                          <a:stretch>
                            <a:fillRect/>
                          </a:stretch>
                        </pic:blipFill>
                        <pic:spPr>
                          <a:xfrm>
                            <a:off x="0" y="0"/>
                            <a:ext cx="1638937"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5,333.35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1638937" cy="6988"/>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image1.png"/>
                          <pic:cNvPicPr/>
                        </pic:nvPicPr>
                        <pic:blipFill>
                          <a:blip r:embed="rId12">
                            <a:extLst/>
                          </a:blip>
                          <a:stretch>
                            <a:fillRect/>
                          </a:stretch>
                        </pic:blipFill>
                        <pic:spPr>
                          <a:xfrm>
                            <a:off x="0" y="0"/>
                            <a:ext cx="1638937"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r w:rsidR="003A5CE8">
        <w:trPr>
          <w:trHeight w:val="35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归属于母公司所有者权益</w:t>
            </w:r>
            <w:r>
              <w:rPr>
                <w:rFonts w:ascii="Times"/>
                <w:sz w:val="22"/>
                <w:szCs w:val="22"/>
                <w:lang w:val="en-US"/>
              </w:rPr>
              <w:t xml:space="preserve">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2,051.20 </w:t>
            </w:r>
          </w:p>
        </w:tc>
      </w:tr>
      <w:tr w:rsidR="003A5CE8">
        <w:trPr>
          <w:trHeight w:val="35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项目</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2014 </w:t>
            </w:r>
            <w:r>
              <w:rPr>
                <w:rFonts w:ascii="Cambria" w:eastAsia="Cambria" w:hAnsi="Cambria" w:cs="Cambria"/>
                <w:sz w:val="22"/>
                <w:szCs w:val="22"/>
              </w:rPr>
              <w:t>年度</w:t>
            </w:r>
          </w:p>
        </w:tc>
      </w:tr>
      <w:tr w:rsidR="003A5CE8">
        <w:trPr>
          <w:trHeight w:val="35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营业收入</w:t>
            </w:r>
            <w:r>
              <w:rPr>
                <w:rFonts w:ascii="Times"/>
                <w:sz w:val="22"/>
                <w:szCs w:val="22"/>
                <w:lang w:val="en-US"/>
              </w:rPr>
              <w:t xml:space="preserve">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5,315.29 </w:t>
            </w:r>
          </w:p>
        </w:tc>
      </w:tr>
      <w:tr w:rsidR="003A5CE8">
        <w:trPr>
          <w:trHeight w:val="103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lastRenderedPageBreak/>
              <w:t>营业利润</w:t>
            </w:r>
            <w:r>
              <w:rPr>
                <w:rFonts w:ascii="Times"/>
                <w:sz w:val="22"/>
                <w:szCs w:val="22"/>
                <w:lang w:val="en-US"/>
              </w:rPr>
              <w:t xml:space="preserve">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1638937" cy="6988"/>
                  <wp:effectExtent l="0" t="0" r="0" b="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image1.png"/>
                          <pic:cNvPicPr/>
                        </pic:nvPicPr>
                        <pic:blipFill>
                          <a:blip r:embed="rId12">
                            <a:extLst/>
                          </a:blip>
                          <a:stretch>
                            <a:fillRect/>
                          </a:stretch>
                        </pic:blipFill>
                        <pic:spPr>
                          <a:xfrm>
                            <a:off x="0" y="0"/>
                            <a:ext cx="1638937"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42" name="officeArt object"/>
                  <wp:cNvGraphicFramePr/>
                  <a:graphic xmlns:a="http://schemas.openxmlformats.org/drawingml/2006/main">
                    <a:graphicData uri="http://schemas.openxmlformats.org/drawingml/2006/picture">
                      <pic:pic xmlns:pic="http://schemas.openxmlformats.org/drawingml/2006/picture">
                        <pic:nvPicPr>
                          <pic:cNvPr id="107374184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927.52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1638937" cy="6988"/>
                  <wp:effectExtent l="0" t="0" r="0" b="0"/>
                  <wp:docPr id="1073741843" name="officeArt object"/>
                  <wp:cNvGraphicFramePr/>
                  <a:graphic xmlns:a="http://schemas.openxmlformats.org/drawingml/2006/main">
                    <a:graphicData uri="http://schemas.openxmlformats.org/drawingml/2006/picture">
                      <pic:pic xmlns:pic="http://schemas.openxmlformats.org/drawingml/2006/picture">
                        <pic:nvPicPr>
                          <pic:cNvPr id="1073741843" name="image1.png"/>
                          <pic:cNvPicPr/>
                        </pic:nvPicPr>
                        <pic:blipFill>
                          <a:blip r:embed="rId12">
                            <a:extLst/>
                          </a:blip>
                          <a:stretch>
                            <a:fillRect/>
                          </a:stretch>
                        </pic:blipFill>
                        <pic:spPr>
                          <a:xfrm>
                            <a:off x="0" y="0"/>
                            <a:ext cx="1638937"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44" name="officeArt object"/>
                  <wp:cNvGraphicFramePr/>
                  <a:graphic xmlns:a="http://schemas.openxmlformats.org/drawingml/2006/main">
                    <a:graphicData uri="http://schemas.openxmlformats.org/drawingml/2006/picture">
                      <pic:pic xmlns:pic="http://schemas.openxmlformats.org/drawingml/2006/picture">
                        <pic:nvPicPr>
                          <pic:cNvPr id="107374184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r w:rsidR="003A5CE8">
        <w:trPr>
          <w:trHeight w:val="770"/>
        </w:trPr>
        <w:tc>
          <w:tcPr>
            <w:tcW w:w="5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hint="default"/>
              </w:rPr>
            </w:pPr>
            <w:r>
              <w:rPr>
                <w:rFonts w:ascii="Cambria" w:eastAsia="Cambria" w:hAnsi="Cambria" w:cs="Cambria"/>
                <w:sz w:val="22"/>
                <w:szCs w:val="22"/>
              </w:rPr>
              <w:t>归属于母公司所有者的净利润</w:t>
            </w:r>
          </w:p>
        </w:tc>
        <w:tc>
          <w:tcPr>
            <w:tcW w:w="42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713.26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1638937" cy="6988"/>
                  <wp:effectExtent l="0" t="0" r="0" b="0"/>
                  <wp:docPr id="1073741845" name="officeArt object"/>
                  <wp:cNvGraphicFramePr/>
                  <a:graphic xmlns:a="http://schemas.openxmlformats.org/drawingml/2006/main">
                    <a:graphicData uri="http://schemas.openxmlformats.org/drawingml/2006/picture">
                      <pic:pic xmlns:pic="http://schemas.openxmlformats.org/drawingml/2006/picture">
                        <pic:nvPicPr>
                          <pic:cNvPr id="1073741845" name="image1.png"/>
                          <pic:cNvPicPr/>
                        </pic:nvPicPr>
                        <pic:blipFill>
                          <a:blip r:embed="rId12">
                            <a:extLst/>
                          </a:blip>
                          <a:stretch>
                            <a:fillRect/>
                          </a:stretch>
                        </pic:blipFill>
                        <pic:spPr>
                          <a:xfrm>
                            <a:off x="0" y="0"/>
                            <a:ext cx="1638937"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46" name="officeArt object"/>
                  <wp:cNvGraphicFramePr/>
                  <a:graphic xmlns:a="http://schemas.openxmlformats.org/drawingml/2006/main">
                    <a:graphicData uri="http://schemas.openxmlformats.org/drawingml/2006/picture">
                      <pic:pic xmlns:pic="http://schemas.openxmlformats.org/drawingml/2006/picture">
                        <pic:nvPicPr>
                          <pic:cNvPr id="1073741846" name="image10.png"/>
                          <pic:cNvPicPr/>
                        </pic:nvPicPr>
                        <pic:blipFill>
                          <a:blip r:embed="rId14">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bl>
    <w:p w:rsidR="003A5CE8" w:rsidRDefault="003A5CE8">
      <w:pPr>
        <w:pStyle w:val="B"/>
        <w:widowControl w:val="0"/>
        <w:spacing w:after="240"/>
        <w:rPr>
          <w:rFonts w:ascii="Times" w:eastAsia="Times" w:hAnsi="Times" w:cs="Times" w:hint="default"/>
          <w:sz w:val="22"/>
          <w:szCs w:val="22"/>
        </w:rPr>
      </w:pPr>
    </w:p>
    <w:p w:rsidR="003A5CE8" w:rsidRDefault="003A5CE8">
      <w:pPr>
        <w:pStyle w:val="B"/>
        <w:widowControl w:val="0"/>
        <w:spacing w:after="240"/>
        <w:rPr>
          <w:rFonts w:ascii="Times" w:eastAsia="Times" w:hAnsi="Times" w:cs="Times" w:hint="default"/>
          <w:sz w:val="22"/>
          <w:szCs w:val="22"/>
        </w:rPr>
      </w:pPr>
    </w:p>
    <w:p w:rsidR="003A5CE8" w:rsidRDefault="003A5CE8">
      <w:pPr>
        <w:pStyle w:val="B"/>
        <w:widowControl w:val="0"/>
        <w:spacing w:after="240"/>
        <w:rPr>
          <w:rFonts w:ascii="Times" w:eastAsia="Times" w:hAnsi="Times" w:cs="Times" w:hint="default"/>
          <w:sz w:val="22"/>
          <w:szCs w:val="22"/>
        </w:rPr>
      </w:pPr>
    </w:p>
    <w:p w:rsidR="003A5CE8" w:rsidRDefault="007038D7">
      <w:pPr>
        <w:pStyle w:val="B"/>
        <w:widowControl w:val="0"/>
        <w:spacing w:after="240"/>
        <w:rPr>
          <w:rFonts w:ascii="Times" w:eastAsia="Times" w:hAnsi="Times" w:cs="Times" w:hint="default"/>
          <w:sz w:val="22"/>
          <w:szCs w:val="22"/>
        </w:rPr>
      </w:pPr>
      <w:r>
        <w:rPr>
          <w:rFonts w:ascii="Times"/>
          <w:sz w:val="22"/>
          <w:szCs w:val="22"/>
          <w:lang w:val="en-US"/>
        </w:rPr>
        <w:t>3</w:t>
      </w:r>
      <w:r>
        <w:rPr>
          <w:rFonts w:ascii="Cambria" w:eastAsia="Cambria" w:hAnsi="Cambria" w:cs="Cambria"/>
          <w:sz w:val="22"/>
          <w:szCs w:val="22"/>
        </w:rPr>
        <w:t>、受让前后的股权结构</w:t>
      </w:r>
      <w:r>
        <w:rPr>
          <w:rFonts w:ascii="Times"/>
          <w:sz w:val="22"/>
          <w:szCs w:val="22"/>
          <w:lang w:val="en-US"/>
        </w:rPr>
        <w:t xml:space="preserve"> </w:t>
      </w:r>
    </w:p>
    <w:tbl>
      <w:tblPr>
        <w:tblStyle w:val="TableNormal"/>
        <w:tblW w:w="1604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17"/>
        <w:gridCol w:w="3236"/>
        <w:gridCol w:w="2736"/>
        <w:gridCol w:w="2771"/>
        <w:gridCol w:w="2736"/>
        <w:gridCol w:w="2752"/>
      </w:tblGrid>
      <w:tr w:rsidR="003A5CE8">
        <w:trPr>
          <w:trHeight w:val="730"/>
        </w:trPr>
        <w:tc>
          <w:tcPr>
            <w:tcW w:w="1816" w:type="dxa"/>
            <w:tcBorders>
              <w:top w:val="single" w:sz="12" w:space="0" w:color="000000"/>
              <w:left w:val="single" w:sz="4" w:space="0" w:color="000000"/>
              <w:bottom w:val="single" w:sz="12"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序号</w:t>
            </w:r>
          </w:p>
        </w:tc>
        <w:tc>
          <w:tcPr>
            <w:tcW w:w="3236" w:type="dxa"/>
            <w:tcBorders>
              <w:top w:val="single" w:sz="12" w:space="0" w:color="000000"/>
              <w:left w:val="single" w:sz="5"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股东</w:t>
            </w:r>
          </w:p>
        </w:tc>
        <w:tc>
          <w:tcPr>
            <w:tcW w:w="2736" w:type="dxa"/>
            <w:tcBorders>
              <w:top w:val="single" w:sz="12" w:space="0" w:color="4E4E4E"/>
              <w:left w:val="single" w:sz="4" w:space="0" w:color="000000"/>
              <w:bottom w:val="single" w:sz="12" w:space="0" w:color="4E4E4E"/>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出资额（交易实施前）</w:t>
            </w:r>
          </w:p>
        </w:tc>
        <w:tc>
          <w:tcPr>
            <w:tcW w:w="2771" w:type="dxa"/>
            <w:tcBorders>
              <w:top w:val="single" w:sz="12" w:space="0" w:color="4E4E4E"/>
              <w:left w:val="single" w:sz="4" w:space="0" w:color="000000"/>
              <w:bottom w:val="single" w:sz="12" w:space="0" w:color="4E4E4E"/>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出资额（交易实施后）</w:t>
            </w:r>
          </w:p>
        </w:tc>
        <w:tc>
          <w:tcPr>
            <w:tcW w:w="2736" w:type="dxa"/>
            <w:tcBorders>
              <w:top w:val="single" w:sz="12" w:space="0" w:color="4E4E4E"/>
              <w:left w:val="single" w:sz="4" w:space="0" w:color="000000"/>
              <w:bottom w:val="single" w:sz="12" w:space="0" w:color="4E4E4E"/>
              <w:right w:val="single" w:sz="4" w:space="0" w:color="000000"/>
            </w:tcBorders>
            <w:shd w:val="clear" w:color="auto" w:fill="auto"/>
            <w:tcMar>
              <w:top w:w="80" w:type="dxa"/>
              <w:left w:w="80" w:type="dxa"/>
              <w:bottom w:w="80" w:type="dxa"/>
              <w:right w:w="80" w:type="dxa"/>
            </w:tcMar>
            <w:vAlign w:val="center"/>
          </w:tcPr>
          <w:p w:rsidR="003A5CE8" w:rsidRDefault="003A5CE8">
            <w:pPr>
              <w:rPr>
                <w:lang w:eastAsia="zh-CN"/>
              </w:rPr>
            </w:pPr>
          </w:p>
        </w:tc>
        <w:tc>
          <w:tcPr>
            <w:tcW w:w="2752" w:type="dxa"/>
            <w:tcBorders>
              <w:top w:val="single" w:sz="12" w:space="0" w:color="4E4E4E"/>
              <w:left w:val="single" w:sz="4" w:space="0" w:color="000000"/>
              <w:bottom w:val="single" w:sz="12" w:space="0" w:color="4E4E4E"/>
              <w:right w:val="single" w:sz="4" w:space="0" w:color="000000"/>
            </w:tcBorders>
            <w:shd w:val="clear" w:color="auto" w:fill="auto"/>
            <w:tcMar>
              <w:top w:w="80" w:type="dxa"/>
              <w:left w:w="80" w:type="dxa"/>
              <w:bottom w:w="80" w:type="dxa"/>
              <w:right w:w="80" w:type="dxa"/>
            </w:tcMar>
            <w:vAlign w:val="center"/>
          </w:tcPr>
          <w:p w:rsidR="003A5CE8" w:rsidRDefault="003A5CE8">
            <w:pPr>
              <w:rPr>
                <w:lang w:eastAsia="zh-CN"/>
              </w:rPr>
            </w:pPr>
          </w:p>
        </w:tc>
      </w:tr>
      <w:tr w:rsidR="003A5CE8">
        <w:trPr>
          <w:trHeight w:val="400"/>
        </w:trPr>
        <w:tc>
          <w:tcPr>
            <w:tcW w:w="1816" w:type="dxa"/>
            <w:tcBorders>
              <w:top w:val="single" w:sz="12"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 </w:t>
            </w:r>
          </w:p>
        </w:tc>
        <w:tc>
          <w:tcPr>
            <w:tcW w:w="3236" w:type="dxa"/>
            <w:tcBorders>
              <w:top w:val="single" w:sz="12"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陈黎明</w:t>
            </w:r>
            <w:r>
              <w:rPr>
                <w:rFonts w:ascii="Times"/>
                <w:sz w:val="22"/>
                <w:szCs w:val="22"/>
                <w:lang w:val="en-US"/>
              </w:rPr>
              <w:t xml:space="preserve"> </w:t>
            </w:r>
          </w:p>
        </w:tc>
        <w:tc>
          <w:tcPr>
            <w:tcW w:w="2736" w:type="dxa"/>
            <w:tcBorders>
              <w:top w:val="single" w:sz="12" w:space="0" w:color="4E4E4E"/>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509.20 </w:t>
            </w:r>
          </w:p>
        </w:tc>
        <w:tc>
          <w:tcPr>
            <w:tcW w:w="2771" w:type="dxa"/>
            <w:tcBorders>
              <w:top w:val="single" w:sz="12" w:space="0" w:color="4E4E4E"/>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509.20 </w:t>
            </w:r>
          </w:p>
        </w:tc>
        <w:tc>
          <w:tcPr>
            <w:tcW w:w="2736" w:type="dxa"/>
            <w:tcBorders>
              <w:top w:val="single" w:sz="12" w:space="0" w:color="4E4E4E"/>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25.46 </w:t>
            </w:r>
          </w:p>
        </w:tc>
        <w:tc>
          <w:tcPr>
            <w:tcW w:w="2752" w:type="dxa"/>
            <w:tcBorders>
              <w:top w:val="single" w:sz="12" w:space="0" w:color="4E4E4E"/>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25.46 </w:t>
            </w:r>
          </w:p>
        </w:tc>
      </w:tr>
      <w:tr w:rsidR="003A5CE8">
        <w:trPr>
          <w:trHeight w:val="521"/>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吴梅林</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47" name="officeArt object"/>
                  <wp:cNvGraphicFramePr/>
                  <a:graphic xmlns:a="http://schemas.openxmlformats.org/drawingml/2006/main">
                    <a:graphicData uri="http://schemas.openxmlformats.org/drawingml/2006/picture">
                      <pic:pic xmlns:pic="http://schemas.openxmlformats.org/drawingml/2006/picture">
                        <pic:nvPicPr>
                          <pic:cNvPr id="1073741847"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296.40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0.20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48" name="officeArt object"/>
                  <wp:cNvGraphicFramePr/>
                  <a:graphic xmlns:a="http://schemas.openxmlformats.org/drawingml/2006/main">
                    <a:graphicData uri="http://schemas.openxmlformats.org/drawingml/2006/picture">
                      <pic:pic xmlns:pic="http://schemas.openxmlformats.org/drawingml/2006/picture">
                        <pic:nvPicPr>
                          <pic:cNvPr id="107374184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49" name="officeArt object"/>
                  <wp:cNvGraphicFramePr/>
                  <a:graphic xmlns:a="http://schemas.openxmlformats.org/drawingml/2006/main">
                    <a:graphicData uri="http://schemas.openxmlformats.org/drawingml/2006/picture">
                      <pic:pic xmlns:pic="http://schemas.openxmlformats.org/drawingml/2006/picture">
                        <pic:nvPicPr>
                          <pic:cNvPr id="107374184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14.82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50" name="officeArt object"/>
                  <wp:cNvGraphicFramePr/>
                  <a:graphic xmlns:a="http://schemas.openxmlformats.org/drawingml/2006/main">
                    <a:graphicData uri="http://schemas.openxmlformats.org/drawingml/2006/picture">
                      <pic:pic xmlns:pic="http://schemas.openxmlformats.org/drawingml/2006/picture">
                        <pic:nvPicPr>
                          <pic:cNvPr id="107374185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0.01 </w:t>
            </w:r>
          </w:p>
        </w:tc>
      </w:tr>
      <w:tr w:rsidR="003A5CE8">
        <w:trPr>
          <w:trHeight w:val="103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3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迪瑞资产</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51" name="officeArt object"/>
                  <wp:cNvGraphicFramePr/>
                  <a:graphic xmlns:a="http://schemas.openxmlformats.org/drawingml/2006/main">
                    <a:graphicData uri="http://schemas.openxmlformats.org/drawingml/2006/picture">
                      <pic:pic xmlns:pic="http://schemas.openxmlformats.org/drawingml/2006/picture">
                        <pic:nvPicPr>
                          <pic:cNvPr id="1073741851"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250.00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52" name="officeArt object"/>
                  <wp:cNvGraphicFramePr/>
                  <a:graphic xmlns:a="http://schemas.openxmlformats.org/drawingml/2006/main">
                    <a:graphicData uri="http://schemas.openxmlformats.org/drawingml/2006/picture">
                      <pic:pic xmlns:pic="http://schemas.openxmlformats.org/drawingml/2006/picture">
                        <pic:nvPicPr>
                          <pic:cNvPr id="107374185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250.00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53" name="officeArt object"/>
                  <wp:cNvGraphicFramePr/>
                  <a:graphic xmlns:a="http://schemas.openxmlformats.org/drawingml/2006/main">
                    <a:graphicData uri="http://schemas.openxmlformats.org/drawingml/2006/picture">
                      <pic:pic xmlns:pic="http://schemas.openxmlformats.org/drawingml/2006/picture">
                        <pic:nvPicPr>
                          <pic:cNvPr id="1073741853"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54" name="officeArt object"/>
                  <wp:cNvGraphicFramePr/>
                  <a:graphic xmlns:a="http://schemas.openxmlformats.org/drawingml/2006/main">
                    <a:graphicData uri="http://schemas.openxmlformats.org/drawingml/2006/picture">
                      <pic:pic xmlns:pic="http://schemas.openxmlformats.org/drawingml/2006/picture">
                        <pic:nvPicPr>
                          <pic:cNvPr id="107374185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12.50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55" name="officeArt object"/>
                  <wp:cNvGraphicFramePr/>
                  <a:graphic xmlns:a="http://schemas.openxmlformats.org/drawingml/2006/main">
                    <a:graphicData uri="http://schemas.openxmlformats.org/drawingml/2006/picture">
                      <pic:pic xmlns:pic="http://schemas.openxmlformats.org/drawingml/2006/picture">
                        <pic:nvPicPr>
                          <pic:cNvPr id="1073741855"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56" name="officeArt object"/>
                  <wp:cNvGraphicFramePr/>
                  <a:graphic xmlns:a="http://schemas.openxmlformats.org/drawingml/2006/main">
                    <a:graphicData uri="http://schemas.openxmlformats.org/drawingml/2006/picture">
                      <pic:pic xmlns:pic="http://schemas.openxmlformats.org/drawingml/2006/picture">
                        <pic:nvPicPr>
                          <pic:cNvPr id="1073741856"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57" name="officeArt object"/>
                  <wp:cNvGraphicFramePr/>
                  <a:graphic xmlns:a="http://schemas.openxmlformats.org/drawingml/2006/main">
                    <a:graphicData uri="http://schemas.openxmlformats.org/drawingml/2006/picture">
                      <pic:pic xmlns:pic="http://schemas.openxmlformats.org/drawingml/2006/picture">
                        <pic:nvPicPr>
                          <pic:cNvPr id="1073741857"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12.50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58" name="officeArt object"/>
                  <wp:cNvGraphicFramePr/>
                  <a:graphic xmlns:a="http://schemas.openxmlformats.org/drawingml/2006/main">
                    <a:graphicData uri="http://schemas.openxmlformats.org/drawingml/2006/picture">
                      <pic:pic xmlns:pic="http://schemas.openxmlformats.org/drawingml/2006/picture">
                        <pic:nvPicPr>
                          <pic:cNvPr id="107374185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r w:rsidR="003A5CE8">
        <w:trPr>
          <w:trHeight w:val="35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4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科桥创投</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200.00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200.00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10.00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10.00 </w:t>
            </w:r>
          </w:p>
        </w:tc>
      </w:tr>
      <w:tr w:rsidR="003A5CE8">
        <w:trPr>
          <w:trHeight w:val="521"/>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5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曹金玲</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59" name="officeArt object"/>
                  <wp:cNvGraphicFramePr/>
                  <a:graphic xmlns:a="http://schemas.openxmlformats.org/drawingml/2006/main">
                    <a:graphicData uri="http://schemas.openxmlformats.org/drawingml/2006/picture">
                      <pic:pic xmlns:pic="http://schemas.openxmlformats.org/drawingml/2006/picture">
                        <pic:nvPicPr>
                          <pic:cNvPr id="107374185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180.00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140.00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60" name="officeArt object"/>
                  <wp:cNvGraphicFramePr/>
                  <a:graphic xmlns:a="http://schemas.openxmlformats.org/drawingml/2006/main">
                    <a:graphicData uri="http://schemas.openxmlformats.org/drawingml/2006/picture">
                      <pic:pic xmlns:pic="http://schemas.openxmlformats.org/drawingml/2006/picture">
                        <pic:nvPicPr>
                          <pic:cNvPr id="107374186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61" name="officeArt object"/>
                  <wp:cNvGraphicFramePr/>
                  <a:graphic xmlns:a="http://schemas.openxmlformats.org/drawingml/2006/main">
                    <a:graphicData uri="http://schemas.openxmlformats.org/drawingml/2006/picture">
                      <pic:pic xmlns:pic="http://schemas.openxmlformats.org/drawingml/2006/picture">
                        <pic:nvPicPr>
                          <pic:cNvPr id="1073741861"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9.00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62" name="officeArt object"/>
                  <wp:cNvGraphicFramePr/>
                  <a:graphic xmlns:a="http://schemas.openxmlformats.org/drawingml/2006/main">
                    <a:graphicData uri="http://schemas.openxmlformats.org/drawingml/2006/picture">
                      <pic:pic xmlns:pic="http://schemas.openxmlformats.org/drawingml/2006/picture">
                        <pic:nvPicPr>
                          <pic:cNvPr id="107374186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7.00 </w:t>
            </w:r>
          </w:p>
        </w:tc>
      </w:tr>
      <w:tr w:rsidR="003A5CE8">
        <w:trPr>
          <w:trHeight w:val="103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6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瑞益创享</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63" name="officeArt object"/>
                  <wp:cNvGraphicFramePr/>
                  <a:graphic xmlns:a="http://schemas.openxmlformats.org/drawingml/2006/main">
                    <a:graphicData uri="http://schemas.openxmlformats.org/drawingml/2006/picture">
                      <pic:pic xmlns:pic="http://schemas.openxmlformats.org/drawingml/2006/picture">
                        <pic:nvPicPr>
                          <pic:cNvPr id="1073741863"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153.20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64" name="officeArt object"/>
                  <wp:cNvGraphicFramePr/>
                  <a:graphic xmlns:a="http://schemas.openxmlformats.org/drawingml/2006/main">
                    <a:graphicData uri="http://schemas.openxmlformats.org/drawingml/2006/picture">
                      <pic:pic xmlns:pic="http://schemas.openxmlformats.org/drawingml/2006/picture">
                        <pic:nvPicPr>
                          <pic:cNvPr id="107374186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83.20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65" name="officeArt object"/>
                  <wp:cNvGraphicFramePr/>
                  <a:graphic xmlns:a="http://schemas.openxmlformats.org/drawingml/2006/main">
                    <a:graphicData uri="http://schemas.openxmlformats.org/drawingml/2006/picture">
                      <pic:pic xmlns:pic="http://schemas.openxmlformats.org/drawingml/2006/picture">
                        <pic:nvPicPr>
                          <pic:cNvPr id="1073741865"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66" name="officeArt object"/>
                  <wp:cNvGraphicFramePr/>
                  <a:graphic xmlns:a="http://schemas.openxmlformats.org/drawingml/2006/main">
                    <a:graphicData uri="http://schemas.openxmlformats.org/drawingml/2006/picture">
                      <pic:pic xmlns:pic="http://schemas.openxmlformats.org/drawingml/2006/picture">
                        <pic:nvPicPr>
                          <pic:cNvPr id="1073741866"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7.66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67" name="officeArt object"/>
                  <wp:cNvGraphicFramePr/>
                  <a:graphic xmlns:a="http://schemas.openxmlformats.org/drawingml/2006/main">
                    <a:graphicData uri="http://schemas.openxmlformats.org/drawingml/2006/picture">
                      <pic:pic xmlns:pic="http://schemas.openxmlformats.org/drawingml/2006/picture">
                        <pic:nvPicPr>
                          <pic:cNvPr id="1073741867"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68" name="officeArt object"/>
                  <wp:cNvGraphicFramePr/>
                  <a:graphic xmlns:a="http://schemas.openxmlformats.org/drawingml/2006/main">
                    <a:graphicData uri="http://schemas.openxmlformats.org/drawingml/2006/picture">
                      <pic:pic xmlns:pic="http://schemas.openxmlformats.org/drawingml/2006/picture">
                        <pic:nvPicPr>
                          <pic:cNvPr id="107374186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69" name="officeArt object"/>
                  <wp:cNvGraphicFramePr/>
                  <a:graphic xmlns:a="http://schemas.openxmlformats.org/drawingml/2006/main">
                    <a:graphicData uri="http://schemas.openxmlformats.org/drawingml/2006/picture">
                      <pic:pic xmlns:pic="http://schemas.openxmlformats.org/drawingml/2006/picture">
                        <pic:nvPicPr>
                          <pic:cNvPr id="107374186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4.16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70" name="officeArt object"/>
                  <wp:cNvGraphicFramePr/>
                  <a:graphic xmlns:a="http://schemas.openxmlformats.org/drawingml/2006/main">
                    <a:graphicData uri="http://schemas.openxmlformats.org/drawingml/2006/picture">
                      <pic:pic xmlns:pic="http://schemas.openxmlformats.org/drawingml/2006/picture">
                        <pic:nvPicPr>
                          <pic:cNvPr id="107374187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r w:rsidR="003A5CE8">
        <w:trPr>
          <w:trHeight w:val="35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7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钱淼根</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74.20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40.00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3.71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2.00 </w:t>
            </w:r>
          </w:p>
        </w:tc>
      </w:tr>
      <w:tr w:rsidR="003A5CE8">
        <w:trPr>
          <w:trHeight w:val="521"/>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8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文广创投</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71" name="officeArt object"/>
                  <wp:cNvGraphicFramePr/>
                  <a:graphic xmlns:a="http://schemas.openxmlformats.org/drawingml/2006/main">
                    <a:graphicData uri="http://schemas.openxmlformats.org/drawingml/2006/picture">
                      <pic:pic xmlns:pic="http://schemas.openxmlformats.org/drawingml/2006/picture">
                        <pic:nvPicPr>
                          <pic:cNvPr id="1073741871"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60.20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72" name="officeArt object"/>
                  <wp:cNvGraphicFramePr/>
                  <a:graphic xmlns:a="http://schemas.openxmlformats.org/drawingml/2006/main">
                    <a:graphicData uri="http://schemas.openxmlformats.org/drawingml/2006/picture">
                      <pic:pic xmlns:pic="http://schemas.openxmlformats.org/drawingml/2006/picture">
                        <pic:nvPicPr>
                          <pic:cNvPr id="107374187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73" name="officeArt object"/>
                  <wp:cNvGraphicFramePr/>
                  <a:graphic xmlns:a="http://schemas.openxmlformats.org/drawingml/2006/main">
                    <a:graphicData uri="http://schemas.openxmlformats.org/drawingml/2006/picture">
                      <pic:pic xmlns:pic="http://schemas.openxmlformats.org/drawingml/2006/picture">
                        <pic:nvPicPr>
                          <pic:cNvPr id="1073741873"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3.01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74" name="officeArt object"/>
                  <wp:cNvGraphicFramePr/>
                  <a:graphic xmlns:a="http://schemas.openxmlformats.org/drawingml/2006/main">
                    <a:graphicData uri="http://schemas.openxmlformats.org/drawingml/2006/picture">
                      <pic:pic xmlns:pic="http://schemas.openxmlformats.org/drawingml/2006/picture">
                        <pic:nvPicPr>
                          <pic:cNvPr id="107374187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 </w:t>
            </w:r>
          </w:p>
        </w:tc>
      </w:tr>
      <w:tr w:rsidR="003A5CE8">
        <w:trPr>
          <w:trHeight w:val="103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9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马淑清</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75" name="officeArt object"/>
                  <wp:cNvGraphicFramePr/>
                  <a:graphic xmlns:a="http://schemas.openxmlformats.org/drawingml/2006/main">
                    <a:graphicData uri="http://schemas.openxmlformats.org/drawingml/2006/picture">
                      <pic:pic xmlns:pic="http://schemas.openxmlformats.org/drawingml/2006/picture">
                        <pic:nvPicPr>
                          <pic:cNvPr id="1073741875"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52.00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76" name="officeArt object"/>
                  <wp:cNvGraphicFramePr/>
                  <a:graphic xmlns:a="http://schemas.openxmlformats.org/drawingml/2006/main">
                    <a:graphicData uri="http://schemas.openxmlformats.org/drawingml/2006/picture">
                      <pic:pic xmlns:pic="http://schemas.openxmlformats.org/drawingml/2006/picture">
                        <pic:nvPicPr>
                          <pic:cNvPr id="1073741876"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77" name="officeArt object"/>
                  <wp:cNvGraphicFramePr/>
                  <a:graphic xmlns:a="http://schemas.openxmlformats.org/drawingml/2006/main">
                    <a:graphicData uri="http://schemas.openxmlformats.org/drawingml/2006/picture">
                      <pic:pic xmlns:pic="http://schemas.openxmlformats.org/drawingml/2006/picture">
                        <pic:nvPicPr>
                          <pic:cNvPr id="1073741877"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78" name="officeArt object"/>
                  <wp:cNvGraphicFramePr/>
                  <a:graphic xmlns:a="http://schemas.openxmlformats.org/drawingml/2006/main">
                    <a:graphicData uri="http://schemas.openxmlformats.org/drawingml/2006/picture">
                      <pic:pic xmlns:pic="http://schemas.openxmlformats.org/drawingml/2006/picture">
                        <pic:nvPicPr>
                          <pic:cNvPr id="107374187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2.60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79" name="officeArt object"/>
                  <wp:cNvGraphicFramePr/>
                  <a:graphic xmlns:a="http://schemas.openxmlformats.org/drawingml/2006/main">
                    <a:graphicData uri="http://schemas.openxmlformats.org/drawingml/2006/picture">
                      <pic:pic xmlns:pic="http://schemas.openxmlformats.org/drawingml/2006/picture">
                        <pic:nvPicPr>
                          <pic:cNvPr id="107374187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80" name="officeArt object"/>
                  <wp:cNvGraphicFramePr/>
                  <a:graphic xmlns:a="http://schemas.openxmlformats.org/drawingml/2006/main">
                    <a:graphicData uri="http://schemas.openxmlformats.org/drawingml/2006/picture">
                      <pic:pic xmlns:pic="http://schemas.openxmlformats.org/drawingml/2006/picture">
                        <pic:nvPicPr>
                          <pic:cNvPr id="107374188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81" name="officeArt object"/>
                  <wp:cNvGraphicFramePr/>
                  <a:graphic xmlns:a="http://schemas.openxmlformats.org/drawingml/2006/main">
                    <a:graphicData uri="http://schemas.openxmlformats.org/drawingml/2006/picture">
                      <pic:pic xmlns:pic="http://schemas.openxmlformats.org/drawingml/2006/picture">
                        <pic:nvPicPr>
                          <pic:cNvPr id="1073741881"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82" name="officeArt object"/>
                  <wp:cNvGraphicFramePr/>
                  <a:graphic xmlns:a="http://schemas.openxmlformats.org/drawingml/2006/main">
                    <a:graphicData uri="http://schemas.openxmlformats.org/drawingml/2006/picture">
                      <pic:pic xmlns:pic="http://schemas.openxmlformats.org/drawingml/2006/picture">
                        <pic:nvPicPr>
                          <pic:cNvPr id="107374188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r w:rsidR="003A5CE8">
        <w:trPr>
          <w:trHeight w:val="35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lastRenderedPageBreak/>
              <w:t xml:space="preserve">10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博大会成</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50.20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2.51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r>
      <w:tr w:rsidR="003A5CE8">
        <w:trPr>
          <w:trHeight w:val="521"/>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11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润邦投资</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83" name="officeArt object"/>
                  <wp:cNvGraphicFramePr/>
                  <a:graphic xmlns:a="http://schemas.openxmlformats.org/drawingml/2006/main">
                    <a:graphicData uri="http://schemas.openxmlformats.org/drawingml/2006/picture">
                      <pic:pic xmlns:pic="http://schemas.openxmlformats.org/drawingml/2006/picture">
                        <pic:nvPicPr>
                          <pic:cNvPr id="1073741883"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40.00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40.00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84" name="officeArt object"/>
                  <wp:cNvGraphicFramePr/>
                  <a:graphic xmlns:a="http://schemas.openxmlformats.org/drawingml/2006/main">
                    <a:graphicData uri="http://schemas.openxmlformats.org/drawingml/2006/picture">
                      <pic:pic xmlns:pic="http://schemas.openxmlformats.org/drawingml/2006/picture">
                        <pic:nvPicPr>
                          <pic:cNvPr id="107374188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85" name="officeArt object"/>
                  <wp:cNvGraphicFramePr/>
                  <a:graphic xmlns:a="http://schemas.openxmlformats.org/drawingml/2006/main">
                    <a:graphicData uri="http://schemas.openxmlformats.org/drawingml/2006/picture">
                      <pic:pic xmlns:pic="http://schemas.openxmlformats.org/drawingml/2006/picture">
                        <pic:nvPicPr>
                          <pic:cNvPr id="1073741885"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2.00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86" name="officeArt object"/>
                  <wp:cNvGraphicFramePr/>
                  <a:graphic xmlns:a="http://schemas.openxmlformats.org/drawingml/2006/main">
                    <a:graphicData uri="http://schemas.openxmlformats.org/drawingml/2006/picture">
                      <pic:pic xmlns:pic="http://schemas.openxmlformats.org/drawingml/2006/picture">
                        <pic:nvPicPr>
                          <pic:cNvPr id="1073741886"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2.00 </w:t>
            </w:r>
          </w:p>
        </w:tc>
      </w:tr>
      <w:tr w:rsidR="003A5CE8">
        <w:trPr>
          <w:trHeight w:val="103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12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潘建文</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87" name="officeArt object"/>
                  <wp:cNvGraphicFramePr/>
                  <a:graphic xmlns:a="http://schemas.openxmlformats.org/drawingml/2006/main">
                    <a:graphicData uri="http://schemas.openxmlformats.org/drawingml/2006/picture">
                      <pic:pic xmlns:pic="http://schemas.openxmlformats.org/drawingml/2006/picture">
                        <pic:nvPicPr>
                          <pic:cNvPr id="1073741887"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38.40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88" name="officeArt object"/>
                  <wp:cNvGraphicFramePr/>
                  <a:graphic xmlns:a="http://schemas.openxmlformats.org/drawingml/2006/main">
                    <a:graphicData uri="http://schemas.openxmlformats.org/drawingml/2006/picture">
                      <pic:pic xmlns:pic="http://schemas.openxmlformats.org/drawingml/2006/picture">
                        <pic:nvPicPr>
                          <pic:cNvPr id="107374188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20.00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89" name="officeArt object"/>
                  <wp:cNvGraphicFramePr/>
                  <a:graphic xmlns:a="http://schemas.openxmlformats.org/drawingml/2006/main">
                    <a:graphicData uri="http://schemas.openxmlformats.org/drawingml/2006/picture">
                      <pic:pic xmlns:pic="http://schemas.openxmlformats.org/drawingml/2006/picture">
                        <pic:nvPicPr>
                          <pic:cNvPr id="107374188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90" name="officeArt object"/>
                  <wp:cNvGraphicFramePr/>
                  <a:graphic xmlns:a="http://schemas.openxmlformats.org/drawingml/2006/main">
                    <a:graphicData uri="http://schemas.openxmlformats.org/drawingml/2006/picture">
                      <pic:pic xmlns:pic="http://schemas.openxmlformats.org/drawingml/2006/picture">
                        <pic:nvPicPr>
                          <pic:cNvPr id="107374189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1.92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91" name="officeArt object"/>
                  <wp:cNvGraphicFramePr/>
                  <a:graphic xmlns:a="http://schemas.openxmlformats.org/drawingml/2006/main">
                    <a:graphicData uri="http://schemas.openxmlformats.org/drawingml/2006/picture">
                      <pic:pic xmlns:pic="http://schemas.openxmlformats.org/drawingml/2006/picture">
                        <pic:nvPicPr>
                          <pic:cNvPr id="1073741891"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6988" cy="6988"/>
                  <wp:effectExtent l="0" t="0" r="0" b="0"/>
                  <wp:docPr id="1073741892" name="officeArt object"/>
                  <wp:cNvGraphicFramePr/>
                  <a:graphic xmlns:a="http://schemas.openxmlformats.org/drawingml/2006/main">
                    <a:graphicData uri="http://schemas.openxmlformats.org/drawingml/2006/picture">
                      <pic:pic xmlns:pic="http://schemas.openxmlformats.org/drawingml/2006/picture">
                        <pic:nvPicPr>
                          <pic:cNvPr id="107374189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93" name="officeArt object"/>
                  <wp:cNvGraphicFramePr/>
                  <a:graphic xmlns:a="http://schemas.openxmlformats.org/drawingml/2006/main">
                    <a:graphicData uri="http://schemas.openxmlformats.org/drawingml/2006/picture">
                      <pic:pic xmlns:pic="http://schemas.openxmlformats.org/drawingml/2006/picture">
                        <pic:nvPicPr>
                          <pic:cNvPr id="1073741893"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1.00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94" name="officeArt object"/>
                  <wp:cNvGraphicFramePr/>
                  <a:graphic xmlns:a="http://schemas.openxmlformats.org/drawingml/2006/main">
                    <a:graphicData uri="http://schemas.openxmlformats.org/drawingml/2006/picture">
                      <pic:pic xmlns:pic="http://schemas.openxmlformats.org/drawingml/2006/picture">
                        <pic:nvPicPr>
                          <pic:cNvPr id="107374189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r>
      <w:tr w:rsidR="003A5CE8">
        <w:trPr>
          <w:trHeight w:val="35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13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徐平华</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33.40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1.67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r>
      <w:tr w:rsidR="003A5CE8">
        <w:trPr>
          <w:trHeight w:val="521"/>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95" name="officeArt object"/>
                  <wp:cNvGraphicFramePr/>
                  <a:graphic xmlns:a="http://schemas.openxmlformats.org/drawingml/2006/main">
                    <a:graphicData uri="http://schemas.openxmlformats.org/drawingml/2006/picture">
                      <pic:pic xmlns:pic="http://schemas.openxmlformats.org/drawingml/2006/picture">
                        <pic:nvPicPr>
                          <pic:cNvPr id="1073741895"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14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唐实宏祥</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96" name="officeArt object"/>
                  <wp:cNvGraphicFramePr/>
                  <a:graphic xmlns:a="http://schemas.openxmlformats.org/drawingml/2006/main">
                    <a:graphicData uri="http://schemas.openxmlformats.org/drawingml/2006/picture">
                      <pic:pic xmlns:pic="http://schemas.openxmlformats.org/drawingml/2006/picture">
                        <pic:nvPicPr>
                          <pic:cNvPr id="1073741896"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Times New Roman"/>
                <w:sz w:val="22"/>
                <w:szCs w:val="22"/>
                <w:lang w:val="en-US"/>
              </w:rPr>
              <w:t xml:space="preserve">17.40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17.40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0.87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0.87 </w:t>
            </w:r>
          </w:p>
        </w:tc>
      </w:tr>
      <w:tr w:rsidR="003A5CE8">
        <w:trPr>
          <w:trHeight w:val="103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97" name="officeArt object"/>
                  <wp:cNvGraphicFramePr/>
                  <a:graphic xmlns:a="http://schemas.openxmlformats.org/drawingml/2006/main">
                    <a:graphicData uri="http://schemas.openxmlformats.org/drawingml/2006/picture">
                      <pic:pic xmlns:pic="http://schemas.openxmlformats.org/drawingml/2006/picture">
                        <pic:nvPicPr>
                          <pic:cNvPr id="1073741897"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15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898" name="officeArt object"/>
                  <wp:cNvGraphicFramePr/>
                  <a:graphic xmlns:a="http://schemas.openxmlformats.org/drawingml/2006/main">
                    <a:graphicData uri="http://schemas.openxmlformats.org/drawingml/2006/picture">
                      <pic:pic xmlns:pic="http://schemas.openxmlformats.org/drawingml/2006/picture">
                        <pic:nvPicPr>
                          <pic:cNvPr id="107374189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章剑</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899" name="officeArt object"/>
                  <wp:cNvGraphicFramePr/>
                  <a:graphic xmlns:a="http://schemas.openxmlformats.org/drawingml/2006/main">
                    <a:graphicData uri="http://schemas.openxmlformats.org/drawingml/2006/picture">
                      <pic:pic xmlns:pic="http://schemas.openxmlformats.org/drawingml/2006/picture">
                        <pic:nvPicPr>
                          <pic:cNvPr id="107374189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16.80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900" name="officeArt object"/>
                  <wp:cNvGraphicFramePr/>
                  <a:graphic xmlns:a="http://schemas.openxmlformats.org/drawingml/2006/main">
                    <a:graphicData uri="http://schemas.openxmlformats.org/drawingml/2006/picture">
                      <pic:pic xmlns:pic="http://schemas.openxmlformats.org/drawingml/2006/picture">
                        <pic:nvPicPr>
                          <pic:cNvPr id="1073741900"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0.84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r>
      <w:tr w:rsidR="003A5CE8">
        <w:trPr>
          <w:trHeight w:val="35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16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赵达峰</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16.80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0.84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r>
      <w:tr w:rsidR="003A5CE8">
        <w:trPr>
          <w:trHeight w:val="1030"/>
        </w:trPr>
        <w:tc>
          <w:tcPr>
            <w:tcW w:w="1816" w:type="dxa"/>
            <w:tcBorders>
              <w:top w:val="single" w:sz="4" w:space="0" w:color="000000"/>
              <w:left w:val="single" w:sz="4" w:space="0" w:color="000000"/>
              <w:bottom w:val="single" w:sz="4" w:space="0" w:color="000000"/>
              <w:right w:val="single" w:sz="5"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901" name="officeArt object"/>
                  <wp:cNvGraphicFramePr/>
                  <a:graphic xmlns:a="http://schemas.openxmlformats.org/drawingml/2006/main">
                    <a:graphicData uri="http://schemas.openxmlformats.org/drawingml/2006/picture">
                      <pic:pic xmlns:pic="http://schemas.openxmlformats.org/drawingml/2006/picture">
                        <pic:nvPicPr>
                          <pic:cNvPr id="1073741901"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17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902" name="officeArt object"/>
                  <wp:cNvGraphicFramePr/>
                  <a:graphic xmlns:a="http://schemas.openxmlformats.org/drawingml/2006/main">
                    <a:graphicData uri="http://schemas.openxmlformats.org/drawingml/2006/picture">
                      <pic:pic xmlns:pic="http://schemas.openxmlformats.org/drawingml/2006/picture">
                        <pic:nvPicPr>
                          <pic:cNvPr id="1073741902"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3236" w:type="dxa"/>
            <w:tcBorders>
              <w:top w:val="single" w:sz="4" w:space="0" w:color="000000"/>
              <w:left w:val="single" w:sz="5"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百团百利</w:t>
            </w:r>
            <w:r>
              <w:rPr>
                <w:rFonts w:ascii="Times"/>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903" name="officeArt object"/>
                  <wp:cNvGraphicFramePr/>
                  <a:graphic xmlns:a="http://schemas.openxmlformats.org/drawingml/2006/main">
                    <a:graphicData uri="http://schemas.openxmlformats.org/drawingml/2006/picture">
                      <pic:pic xmlns:pic="http://schemas.openxmlformats.org/drawingml/2006/picture">
                        <pic:nvPicPr>
                          <pic:cNvPr id="1073741903"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New Roman"/>
                <w:sz w:val="22"/>
                <w:szCs w:val="22"/>
                <w:lang w:val="en-US"/>
              </w:rPr>
              <w:t xml:space="preserve">11.80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904" name="officeArt object"/>
                  <wp:cNvGraphicFramePr/>
                  <a:graphic xmlns:a="http://schemas.openxmlformats.org/drawingml/2006/main">
                    <a:graphicData uri="http://schemas.openxmlformats.org/drawingml/2006/picture">
                      <pic:pic xmlns:pic="http://schemas.openxmlformats.org/drawingml/2006/picture">
                        <pic:nvPicPr>
                          <pic:cNvPr id="1073741904"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c>
          <w:tcPr>
            <w:tcW w:w="2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0.59 </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New Roman"/>
                <w:sz w:val="22"/>
                <w:szCs w:val="22"/>
                <w:lang w:val="en-US"/>
              </w:rPr>
              <w:t xml:space="preserve">-- </w:t>
            </w:r>
          </w:p>
        </w:tc>
      </w:tr>
      <w:tr w:rsidR="003A5CE8">
        <w:trPr>
          <w:trHeight w:val="800"/>
        </w:trPr>
        <w:tc>
          <w:tcPr>
            <w:tcW w:w="1816" w:type="dxa"/>
            <w:tcBorders>
              <w:top w:val="single" w:sz="4" w:space="0" w:color="000000"/>
              <w:left w:val="single" w:sz="4" w:space="0" w:color="000000"/>
              <w:bottom w:val="single" w:sz="12" w:space="0" w:color="585858"/>
              <w:right w:val="single" w:sz="5"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ascii="Times" w:eastAsia="Times" w:hAnsi="Times" w:cs="Times" w:hint="default"/>
                <w:sz w:val="22"/>
                <w:szCs w:val="22"/>
                <w:lang w:val="en-US"/>
              </w:rPr>
            </w:pPr>
            <w:r>
              <w:rPr>
                <w:rFonts w:ascii="Times"/>
                <w:sz w:val="22"/>
                <w:szCs w:val="22"/>
                <w:lang w:val="en-US"/>
              </w:rPr>
              <w:t xml:space="preserve">18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905" name="officeArt object"/>
                  <wp:cNvGraphicFramePr/>
                  <a:graphic xmlns:a="http://schemas.openxmlformats.org/drawingml/2006/main">
                    <a:graphicData uri="http://schemas.openxmlformats.org/drawingml/2006/picture">
                      <pic:pic xmlns:pic="http://schemas.openxmlformats.org/drawingml/2006/picture">
                        <pic:nvPicPr>
                          <pic:cNvPr id="1073741905"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3236" w:type="dxa"/>
            <w:tcBorders>
              <w:top w:val="single" w:sz="4" w:space="0" w:color="000000"/>
              <w:left w:val="single" w:sz="5" w:space="0" w:color="000000"/>
              <w:bottom w:val="single" w:sz="12" w:space="0" w:color="585858"/>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Cambria" w:eastAsia="Cambria" w:hAnsi="Cambria" w:cs="Cambria"/>
                <w:sz w:val="22"/>
                <w:szCs w:val="22"/>
              </w:rPr>
              <w:t>华媒控股</w:t>
            </w:r>
            <w:r>
              <w:rPr>
                <w:rFonts w:ascii="Times"/>
                <w:sz w:val="22"/>
                <w:szCs w:val="22"/>
                <w:lang w:val="en-US"/>
              </w:rPr>
              <w:t xml:space="preserve"> </w:t>
            </w:r>
          </w:p>
        </w:tc>
        <w:tc>
          <w:tcPr>
            <w:tcW w:w="2736" w:type="dxa"/>
            <w:tcBorders>
              <w:top w:val="single" w:sz="4"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 </w:t>
            </w:r>
          </w:p>
        </w:tc>
        <w:tc>
          <w:tcPr>
            <w:tcW w:w="2771" w:type="dxa"/>
            <w:tcBorders>
              <w:top w:val="single" w:sz="4"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700.00 </w:t>
            </w:r>
          </w:p>
        </w:tc>
        <w:tc>
          <w:tcPr>
            <w:tcW w:w="2736" w:type="dxa"/>
            <w:tcBorders>
              <w:top w:val="single" w:sz="4"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 </w:t>
            </w:r>
          </w:p>
        </w:tc>
        <w:tc>
          <w:tcPr>
            <w:tcW w:w="2752" w:type="dxa"/>
            <w:tcBorders>
              <w:top w:val="single" w:sz="4"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35.00 </w:t>
            </w:r>
          </w:p>
        </w:tc>
      </w:tr>
      <w:tr w:rsidR="003A5CE8">
        <w:trPr>
          <w:trHeight w:val="1110"/>
        </w:trPr>
        <w:tc>
          <w:tcPr>
            <w:tcW w:w="5052" w:type="dxa"/>
            <w:gridSpan w:val="2"/>
            <w:tcBorders>
              <w:top w:val="single" w:sz="12" w:space="0" w:color="585858"/>
              <w:left w:val="single" w:sz="4" w:space="0" w:color="000000"/>
              <w:bottom w:val="single" w:sz="12" w:space="0" w:color="575757"/>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70485" cy="182880"/>
                  <wp:effectExtent l="0" t="0" r="0" b="0"/>
                  <wp:docPr id="1073741906" name="officeArt object"/>
                  <wp:cNvGraphicFramePr/>
                  <a:graphic xmlns:a="http://schemas.openxmlformats.org/drawingml/2006/main">
                    <a:graphicData uri="http://schemas.openxmlformats.org/drawingml/2006/picture">
                      <pic:pic xmlns:pic="http://schemas.openxmlformats.org/drawingml/2006/picture">
                        <pic:nvPicPr>
                          <pic:cNvPr id="1073741906" name="image70.png"/>
                          <pic:cNvPicPr/>
                        </pic:nvPicPr>
                        <pic:blipFill>
                          <a:blip r:embed="rId15">
                            <a:extLst/>
                          </a:blip>
                          <a:stretch>
                            <a:fillRect/>
                          </a:stretch>
                        </pic:blipFill>
                        <pic:spPr>
                          <a:xfrm>
                            <a:off x="0" y="0"/>
                            <a:ext cx="70485" cy="182880"/>
                          </a:xfrm>
                          <a:prstGeom prst="rect">
                            <a:avLst/>
                          </a:prstGeom>
                          <a:ln w="12700" cap="flat">
                            <a:noFill/>
                            <a:miter lim="400000"/>
                          </a:ln>
                          <a:effectLst/>
                        </pic:spPr>
                      </pic:pic>
                    </a:graphicData>
                  </a:graphic>
                </wp:inline>
              </w:drawing>
            </w:r>
            <w:r>
              <w:rPr>
                <w:rFonts w:ascii="Times"/>
                <w:sz w:val="22"/>
                <w:szCs w:val="22"/>
                <w:lang w:val="en-US"/>
              </w:rPr>
              <w:t xml:space="preserve"> </w:t>
            </w:r>
            <w:r>
              <w:rPr>
                <w:rFonts w:ascii="Times" w:eastAsia="Times" w:hAnsi="Times" w:cs="Times"/>
                <w:noProof/>
                <w:sz w:val="22"/>
                <w:szCs w:val="22"/>
                <w:lang w:val="en-US" w:eastAsia="zh-CN"/>
              </w:rPr>
              <w:drawing>
                <wp:inline distT="0" distB="0" distL="0" distR="0">
                  <wp:extent cx="70485" cy="182880"/>
                  <wp:effectExtent l="0" t="0" r="0" b="0"/>
                  <wp:docPr id="1073741907" name="officeArt object"/>
                  <wp:cNvGraphicFramePr/>
                  <a:graphic xmlns:a="http://schemas.openxmlformats.org/drawingml/2006/main">
                    <a:graphicData uri="http://schemas.openxmlformats.org/drawingml/2006/picture">
                      <pic:pic xmlns:pic="http://schemas.openxmlformats.org/drawingml/2006/picture">
                        <pic:nvPicPr>
                          <pic:cNvPr id="1073741907" name="image70.png"/>
                          <pic:cNvPicPr/>
                        </pic:nvPicPr>
                        <pic:blipFill>
                          <a:blip r:embed="rId15">
                            <a:extLst/>
                          </a:blip>
                          <a:stretch>
                            <a:fillRect/>
                          </a:stretch>
                        </pic:blipFill>
                        <pic:spPr>
                          <a:xfrm>
                            <a:off x="0" y="0"/>
                            <a:ext cx="70485" cy="182880"/>
                          </a:xfrm>
                          <a:prstGeom prst="rect">
                            <a:avLst/>
                          </a:prstGeom>
                          <a:ln w="12700" cap="flat">
                            <a:noFill/>
                            <a:miter lim="400000"/>
                          </a:ln>
                          <a:effectLst/>
                        </pic:spPr>
                      </pic:pic>
                    </a:graphicData>
                  </a:graphic>
                </wp:inline>
              </w:drawing>
            </w:r>
          </w:p>
          <w:p w:rsidR="003A5CE8" w:rsidRDefault="007038D7">
            <w:pPr>
              <w:pStyle w:val="B"/>
              <w:spacing w:after="240"/>
              <w:rPr>
                <w:rFonts w:hint="default"/>
              </w:rPr>
            </w:pPr>
            <w:r>
              <w:rPr>
                <w:rFonts w:ascii="Cambria" w:eastAsia="Cambria" w:hAnsi="Cambria" w:cs="Cambria"/>
                <w:sz w:val="22"/>
                <w:szCs w:val="22"/>
              </w:rPr>
              <w:t>合计</w:t>
            </w:r>
            <w:r>
              <w:rPr>
                <w:rFonts w:ascii="Times"/>
                <w:sz w:val="22"/>
                <w:szCs w:val="22"/>
                <w:lang w:val="en-US"/>
              </w:rPr>
              <w:t xml:space="preserve"> </w:t>
            </w:r>
          </w:p>
        </w:tc>
        <w:tc>
          <w:tcPr>
            <w:tcW w:w="2736"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rPr>
                <w:rFonts w:ascii="Times" w:eastAsia="Times" w:hAnsi="Times" w:cs="Times" w:hint="default"/>
                <w:sz w:val="22"/>
                <w:szCs w:val="22"/>
                <w:lang w:val="en-US"/>
              </w:rPr>
            </w:pPr>
            <w:r>
              <w:rPr>
                <w:rFonts w:ascii="Times" w:eastAsia="Times" w:hAnsi="Times" w:cs="Times"/>
                <w:noProof/>
                <w:sz w:val="22"/>
                <w:szCs w:val="22"/>
                <w:lang w:val="en-US" w:eastAsia="zh-CN"/>
              </w:rPr>
              <w:drawing>
                <wp:inline distT="0" distB="0" distL="0" distR="0">
                  <wp:extent cx="6988" cy="6988"/>
                  <wp:effectExtent l="0" t="0" r="0" b="0"/>
                  <wp:docPr id="1073741908" name="officeArt object"/>
                  <wp:cNvGraphicFramePr/>
                  <a:graphic xmlns:a="http://schemas.openxmlformats.org/drawingml/2006/main">
                    <a:graphicData uri="http://schemas.openxmlformats.org/drawingml/2006/picture">
                      <pic:pic xmlns:pic="http://schemas.openxmlformats.org/drawingml/2006/picture">
                        <pic:nvPicPr>
                          <pic:cNvPr id="1073741908"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p>
          <w:p w:rsidR="003A5CE8" w:rsidRDefault="007038D7">
            <w:pPr>
              <w:pStyle w:val="B"/>
              <w:spacing w:after="240"/>
              <w:rPr>
                <w:rFonts w:ascii="Times" w:eastAsia="Times" w:hAnsi="Times" w:cs="Times" w:hint="default"/>
                <w:sz w:val="22"/>
                <w:szCs w:val="22"/>
                <w:lang w:val="en-US"/>
              </w:rPr>
            </w:pPr>
            <w:r>
              <w:rPr>
                <w:rFonts w:ascii="Times"/>
                <w:sz w:val="22"/>
                <w:szCs w:val="22"/>
                <w:lang w:val="en-US"/>
              </w:rPr>
              <w:t xml:space="preserve">2,000.00 </w:t>
            </w:r>
          </w:p>
          <w:p w:rsidR="003A5CE8" w:rsidRDefault="007038D7">
            <w:pPr>
              <w:pStyle w:val="B"/>
              <w:rPr>
                <w:rFonts w:hint="default"/>
              </w:rPr>
            </w:pPr>
            <w:r>
              <w:rPr>
                <w:rFonts w:ascii="Times" w:eastAsia="Times" w:hAnsi="Times" w:cs="Times"/>
                <w:noProof/>
                <w:sz w:val="22"/>
                <w:szCs w:val="22"/>
                <w:lang w:val="en-US" w:eastAsia="zh-CN"/>
              </w:rPr>
              <w:drawing>
                <wp:inline distT="0" distB="0" distL="0" distR="0">
                  <wp:extent cx="6988" cy="6988"/>
                  <wp:effectExtent l="0" t="0" r="0" b="0"/>
                  <wp:docPr id="1073741909" name="officeArt object"/>
                  <wp:cNvGraphicFramePr/>
                  <a:graphic xmlns:a="http://schemas.openxmlformats.org/drawingml/2006/main">
                    <a:graphicData uri="http://schemas.openxmlformats.org/drawingml/2006/picture">
                      <pic:pic xmlns:pic="http://schemas.openxmlformats.org/drawingml/2006/picture">
                        <pic:nvPicPr>
                          <pic:cNvPr id="1073741909" name="image2.png"/>
                          <pic:cNvPicPr/>
                        </pic:nvPicPr>
                        <pic:blipFill>
                          <a:blip r:embed="rId13">
                            <a:extLst/>
                          </a:blip>
                          <a:stretch>
                            <a:fillRect/>
                          </a:stretch>
                        </pic:blipFill>
                        <pic:spPr>
                          <a:xfrm>
                            <a:off x="0" y="0"/>
                            <a:ext cx="6988" cy="6988"/>
                          </a:xfrm>
                          <a:prstGeom prst="rect">
                            <a:avLst/>
                          </a:prstGeom>
                          <a:ln w="12700" cap="flat">
                            <a:noFill/>
                            <a:miter lim="400000"/>
                          </a:ln>
                          <a:effectLst/>
                        </pic:spPr>
                      </pic:pic>
                    </a:graphicData>
                  </a:graphic>
                </wp:inline>
              </w:drawing>
            </w:r>
            <w:r>
              <w:rPr>
                <w:rFonts w:ascii="Times"/>
                <w:sz w:val="22"/>
                <w:szCs w:val="22"/>
                <w:lang w:val="en-US"/>
              </w:rPr>
              <w:t xml:space="preserve"> </w:t>
            </w:r>
          </w:p>
        </w:tc>
        <w:tc>
          <w:tcPr>
            <w:tcW w:w="2771"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2,000.00 </w:t>
            </w:r>
          </w:p>
        </w:tc>
        <w:tc>
          <w:tcPr>
            <w:tcW w:w="2736"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100.00 </w:t>
            </w:r>
          </w:p>
        </w:tc>
        <w:tc>
          <w:tcPr>
            <w:tcW w:w="2752"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3A5CE8" w:rsidRDefault="007038D7">
            <w:pPr>
              <w:pStyle w:val="B"/>
              <w:spacing w:after="240"/>
              <w:rPr>
                <w:rFonts w:hint="default"/>
              </w:rPr>
            </w:pPr>
            <w:r>
              <w:rPr>
                <w:rFonts w:ascii="Times"/>
                <w:sz w:val="22"/>
                <w:szCs w:val="22"/>
                <w:lang w:val="en-US"/>
              </w:rPr>
              <w:t xml:space="preserve">100.00 </w:t>
            </w:r>
          </w:p>
        </w:tc>
      </w:tr>
    </w:tbl>
    <w:p w:rsidR="003A5CE8" w:rsidRDefault="003A5CE8">
      <w:pPr>
        <w:pStyle w:val="B"/>
        <w:widowControl w:val="0"/>
        <w:spacing w:after="240"/>
        <w:rPr>
          <w:rFonts w:ascii="Times" w:eastAsia="Times" w:hAnsi="Times" w:cs="Times" w:hint="default"/>
          <w:sz w:val="22"/>
          <w:szCs w:val="22"/>
        </w:rPr>
      </w:pPr>
    </w:p>
    <w:p w:rsidR="003A5CE8" w:rsidRDefault="003A5CE8">
      <w:pPr>
        <w:pStyle w:val="B"/>
        <w:widowControl w:val="0"/>
        <w:spacing w:after="240"/>
        <w:rPr>
          <w:rFonts w:ascii="Times" w:eastAsia="Times" w:hAnsi="Times" w:cs="Times" w:hint="default"/>
          <w:sz w:val="22"/>
          <w:szCs w:val="22"/>
        </w:rPr>
      </w:pPr>
    </w:p>
    <w:p w:rsidR="003A5CE8" w:rsidRDefault="003A5CE8">
      <w:pPr>
        <w:pStyle w:val="B"/>
        <w:widowControl w:val="0"/>
        <w:spacing w:after="240"/>
        <w:rPr>
          <w:rFonts w:ascii="Times" w:eastAsia="Times" w:hAnsi="Times" w:cs="Times" w:hint="default"/>
          <w:sz w:val="22"/>
          <w:szCs w:val="22"/>
        </w:rPr>
      </w:pPr>
    </w:p>
    <w:p w:rsidR="003A5CE8" w:rsidRDefault="007038D7">
      <w:pPr>
        <w:pStyle w:val="B"/>
        <w:spacing w:after="240"/>
        <w:rPr>
          <w:rFonts w:ascii="Times" w:eastAsia="Times" w:hAnsi="Times" w:cs="Times" w:hint="default"/>
          <w:sz w:val="22"/>
          <w:szCs w:val="22"/>
        </w:rPr>
      </w:pPr>
      <w:r>
        <w:rPr>
          <w:rFonts w:ascii="Times"/>
          <w:sz w:val="22"/>
          <w:szCs w:val="22"/>
          <w:lang w:val="en-US"/>
        </w:rPr>
        <w:t>4</w:t>
      </w:r>
      <w:r>
        <w:rPr>
          <w:rFonts w:ascii="Cambria" w:eastAsia="Cambria" w:hAnsi="Cambria" w:cs="Cambria"/>
          <w:sz w:val="22"/>
          <w:szCs w:val="22"/>
        </w:rPr>
        <w:t>、债权债务处理</w:t>
      </w:r>
      <w:r>
        <w:rPr>
          <w:rFonts w:ascii="Times"/>
          <w:sz w:val="22"/>
          <w:szCs w:val="22"/>
          <w:lang w:val="en-US"/>
        </w:rPr>
        <w:t xml:space="preserve"> </w:t>
      </w:r>
      <w:r>
        <w:rPr>
          <w:rFonts w:ascii="Cambria" w:eastAsia="Cambria" w:hAnsi="Cambria" w:cs="Cambria"/>
          <w:sz w:val="22"/>
          <w:szCs w:val="22"/>
        </w:rPr>
        <w:t>本次股权转让不涉及债权债务处理事项。</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5</w:t>
      </w:r>
      <w:r>
        <w:rPr>
          <w:rFonts w:ascii="Cambria" w:eastAsia="Cambria" w:hAnsi="Cambria" w:cs="Cambria"/>
          <w:sz w:val="22"/>
          <w:szCs w:val="22"/>
        </w:rPr>
        <w:t>、交易标的的权属情（略）</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四、</w:t>
      </w:r>
      <w:r>
        <w:rPr>
          <w:rFonts w:ascii="Times"/>
          <w:sz w:val="22"/>
          <w:szCs w:val="22"/>
          <w:lang w:val="en-US"/>
        </w:rPr>
        <w:t xml:space="preserve"> </w:t>
      </w:r>
      <w:r>
        <w:rPr>
          <w:rFonts w:ascii="Cambria" w:eastAsia="Cambria" w:hAnsi="Cambria" w:cs="Cambria"/>
          <w:sz w:val="22"/>
          <w:szCs w:val="22"/>
        </w:rPr>
        <w:t>交易协议的主要内容</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1</w:t>
      </w:r>
      <w:r>
        <w:rPr>
          <w:rFonts w:ascii="Cambria" w:eastAsia="Cambria" w:hAnsi="Cambria" w:cs="Cambria"/>
          <w:sz w:val="22"/>
          <w:szCs w:val="22"/>
        </w:rPr>
        <w:t>、交易结构、流程和生效时间</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lastRenderedPageBreak/>
        <w:t>根据中企华出具的评报字</w:t>
      </w:r>
      <w:r>
        <w:rPr>
          <w:rFonts w:ascii="Times"/>
          <w:sz w:val="22"/>
          <w:szCs w:val="22"/>
          <w:lang w:val="en-US"/>
        </w:rPr>
        <w:t xml:space="preserve"> </w:t>
      </w:r>
      <w:r>
        <w:rPr>
          <w:rFonts w:ascii="Times New Roman"/>
          <w:sz w:val="22"/>
          <w:szCs w:val="22"/>
          <w:lang w:val="en-US"/>
        </w:rPr>
        <w:t xml:space="preserve">2015 </w:t>
      </w:r>
      <w:r>
        <w:rPr>
          <w:rFonts w:ascii="Cambria" w:eastAsia="Cambria" w:hAnsi="Cambria" w:cs="Cambria"/>
          <w:sz w:val="22"/>
          <w:szCs w:val="22"/>
        </w:rPr>
        <w:t>第</w:t>
      </w:r>
      <w:r>
        <w:rPr>
          <w:rFonts w:ascii="Times"/>
          <w:sz w:val="22"/>
          <w:szCs w:val="22"/>
          <w:lang w:val="en-US"/>
        </w:rPr>
        <w:t xml:space="preserve"> </w:t>
      </w:r>
      <w:r>
        <w:rPr>
          <w:rFonts w:ascii="Times New Roman"/>
          <w:sz w:val="22"/>
          <w:szCs w:val="22"/>
          <w:lang w:val="en-US"/>
        </w:rPr>
        <w:t xml:space="preserve">3457 </w:t>
      </w:r>
      <w:r>
        <w:rPr>
          <w:rFonts w:ascii="Cambria" w:eastAsia="Cambria" w:hAnsi="Cambria" w:cs="Cambria"/>
          <w:sz w:val="22"/>
          <w:szCs w:val="22"/>
        </w:rPr>
        <w:t>号《评估报告》</w:t>
      </w:r>
      <w:r>
        <w:rPr>
          <w:rFonts w:ascii="Times"/>
          <w:sz w:val="22"/>
          <w:szCs w:val="22"/>
          <w:lang w:val="en-US"/>
        </w:rPr>
        <w:t>,</w:t>
      </w:r>
      <w:r>
        <w:rPr>
          <w:rFonts w:ascii="Cambria" w:eastAsia="Cambria" w:hAnsi="Cambria" w:cs="Cambria"/>
          <w:sz w:val="22"/>
          <w:szCs w:val="22"/>
        </w:rPr>
        <w:t>标的公司</w:t>
      </w:r>
      <w:r>
        <w:rPr>
          <w:rFonts w:ascii="Times New Roman"/>
          <w:sz w:val="22"/>
          <w:szCs w:val="22"/>
          <w:lang w:val="en-US"/>
        </w:rPr>
        <w:t>100%</w:t>
      </w:r>
      <w:r>
        <w:rPr>
          <w:rFonts w:ascii="Cambria" w:eastAsia="Cambria" w:hAnsi="Cambria" w:cs="Cambria"/>
          <w:sz w:val="22"/>
          <w:szCs w:val="22"/>
        </w:rPr>
        <w:t>股权在基准日经评估的价值为人民币</w:t>
      </w:r>
      <w:r>
        <w:rPr>
          <w:rFonts w:ascii="Times"/>
          <w:sz w:val="22"/>
          <w:szCs w:val="22"/>
          <w:lang w:val="en-US"/>
        </w:rPr>
        <w:t xml:space="preserve"> </w:t>
      </w:r>
      <w:r>
        <w:rPr>
          <w:rFonts w:ascii="Times New Roman"/>
          <w:sz w:val="22"/>
          <w:szCs w:val="22"/>
          <w:lang w:val="en-US"/>
        </w:rPr>
        <w:t>30,722.91</w:t>
      </w:r>
      <w:r>
        <w:rPr>
          <w:rFonts w:ascii="Cambria" w:eastAsia="Cambria" w:hAnsi="Cambria" w:cs="Cambria"/>
          <w:sz w:val="22"/>
          <w:szCs w:val="22"/>
        </w:rPr>
        <w:t>万元。华媒控股拟向吴梅林、</w:t>
      </w:r>
      <w:r>
        <w:rPr>
          <w:rFonts w:ascii="Times"/>
          <w:sz w:val="22"/>
          <w:szCs w:val="22"/>
          <w:lang w:val="en-US"/>
        </w:rPr>
        <w:t xml:space="preserve"> </w:t>
      </w:r>
      <w:r>
        <w:rPr>
          <w:rFonts w:ascii="Cambria" w:eastAsia="Cambria" w:hAnsi="Cambria" w:cs="Cambria"/>
          <w:sz w:val="22"/>
          <w:szCs w:val="22"/>
        </w:rPr>
        <w:t>瑞益创享、文广创投、马淑清、博大会成、曹金玲、钱淼根、徐平华、潘建</w:t>
      </w:r>
      <w:r>
        <w:rPr>
          <w:rFonts w:ascii="Times"/>
          <w:sz w:val="22"/>
          <w:szCs w:val="22"/>
          <w:lang w:val="en-US"/>
        </w:rPr>
        <w:t xml:space="preserve"> </w:t>
      </w:r>
      <w:r>
        <w:rPr>
          <w:rFonts w:ascii="Cambria" w:eastAsia="Cambria" w:hAnsi="Cambria" w:cs="Cambria"/>
          <w:sz w:val="22"/>
          <w:szCs w:val="22"/>
        </w:rPr>
        <w:t>文、章剑、赵达峰、百团百利共计支付现金</w:t>
      </w:r>
      <w:r>
        <w:rPr>
          <w:rFonts w:ascii="Times"/>
          <w:sz w:val="22"/>
          <w:szCs w:val="22"/>
          <w:lang w:val="en-US"/>
        </w:rPr>
        <w:t xml:space="preserve"> </w:t>
      </w:r>
      <w:r>
        <w:rPr>
          <w:rFonts w:ascii="Times New Roman"/>
          <w:sz w:val="22"/>
          <w:szCs w:val="22"/>
          <w:lang w:val="en-US"/>
        </w:rPr>
        <w:t xml:space="preserve">10,752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购买该等交易对手</w:t>
      </w:r>
      <w:r>
        <w:rPr>
          <w:rFonts w:ascii="Times"/>
          <w:sz w:val="22"/>
          <w:szCs w:val="22"/>
          <w:lang w:val="en-US"/>
        </w:rPr>
        <w:t xml:space="preserve"> </w:t>
      </w:r>
      <w:r>
        <w:rPr>
          <w:rFonts w:ascii="Cambria" w:eastAsia="Cambria" w:hAnsi="Cambria" w:cs="Cambria"/>
          <w:sz w:val="22"/>
          <w:szCs w:val="22"/>
        </w:rPr>
        <w:t>所持北京精典博维文化传媒有限公司</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股权。本次交易完成后</w:t>
      </w:r>
      <w:r>
        <w:rPr>
          <w:rFonts w:ascii="Times"/>
          <w:sz w:val="22"/>
          <w:szCs w:val="22"/>
          <w:lang w:val="en-US"/>
        </w:rPr>
        <w:t>,</w:t>
      </w:r>
      <w:r>
        <w:rPr>
          <w:rFonts w:ascii="Cambria" w:eastAsia="Cambria" w:hAnsi="Cambria" w:cs="Cambria"/>
          <w:sz w:val="22"/>
          <w:szCs w:val="22"/>
        </w:rPr>
        <w:t>华媒控股</w:t>
      </w:r>
      <w:r>
        <w:rPr>
          <w:rFonts w:ascii="Times"/>
          <w:sz w:val="22"/>
          <w:szCs w:val="22"/>
          <w:lang w:val="en-US"/>
        </w:rPr>
        <w:t xml:space="preserve"> </w:t>
      </w:r>
      <w:r>
        <w:rPr>
          <w:rFonts w:ascii="Cambria" w:eastAsia="Cambria" w:hAnsi="Cambria" w:cs="Cambria"/>
          <w:sz w:val="22"/>
          <w:szCs w:val="22"/>
        </w:rPr>
        <w:t>持有精典博维</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股权</w:t>
      </w:r>
      <w:r>
        <w:rPr>
          <w:rFonts w:ascii="Times"/>
          <w:sz w:val="22"/>
          <w:szCs w:val="22"/>
          <w:lang w:val="en-US"/>
        </w:rPr>
        <w:t>,</w:t>
      </w:r>
      <w:r>
        <w:rPr>
          <w:rFonts w:ascii="Cambria" w:eastAsia="Cambria" w:hAnsi="Cambria" w:cs="Cambria"/>
          <w:sz w:val="22"/>
          <w:szCs w:val="22"/>
        </w:rPr>
        <w:t>成为精典博维的第一大股东。</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本次交易完成后</w:t>
      </w:r>
      <w:r>
        <w:rPr>
          <w:rFonts w:ascii="Times"/>
          <w:sz w:val="22"/>
          <w:szCs w:val="22"/>
          <w:lang w:val="en-US"/>
        </w:rPr>
        <w:t>,</w:t>
      </w:r>
      <w:r>
        <w:rPr>
          <w:rFonts w:ascii="Cambria" w:eastAsia="Cambria" w:hAnsi="Cambria" w:cs="Cambria"/>
          <w:sz w:val="22"/>
          <w:szCs w:val="22"/>
        </w:rPr>
        <w:t>若精典博维</w:t>
      </w:r>
      <w:r>
        <w:rPr>
          <w:rFonts w:ascii="Times"/>
          <w:sz w:val="22"/>
          <w:szCs w:val="22"/>
          <w:lang w:val="en-US"/>
        </w:rPr>
        <w:t xml:space="preserve"> </w:t>
      </w:r>
      <w:r>
        <w:rPr>
          <w:rFonts w:ascii="Times New Roman"/>
          <w:sz w:val="22"/>
          <w:szCs w:val="22"/>
          <w:lang w:val="en-US"/>
        </w:rPr>
        <w:t xml:space="preserve">2015 </w:t>
      </w:r>
      <w:r>
        <w:rPr>
          <w:rFonts w:ascii="Cambria" w:eastAsia="Cambria" w:hAnsi="Cambria" w:cs="Cambria"/>
          <w:sz w:val="22"/>
          <w:szCs w:val="22"/>
        </w:rPr>
        <w:t>年度实现的归属母公司净利润</w:t>
      </w:r>
      <w:r>
        <w:rPr>
          <w:rFonts w:ascii="Times"/>
          <w:sz w:val="22"/>
          <w:szCs w:val="22"/>
          <w:lang w:val="en-US"/>
        </w:rPr>
        <w:t>(</w:t>
      </w:r>
      <w:r>
        <w:rPr>
          <w:rFonts w:ascii="Cambria" w:eastAsia="Cambria" w:hAnsi="Cambria" w:cs="Cambria"/>
          <w:sz w:val="22"/>
          <w:szCs w:val="22"/>
        </w:rPr>
        <w:t>根据</w:t>
      </w:r>
      <w:r>
        <w:rPr>
          <w:rFonts w:ascii="Times"/>
          <w:sz w:val="22"/>
          <w:szCs w:val="22"/>
          <w:lang w:val="en-US"/>
        </w:rPr>
        <w:t xml:space="preserve"> </w:t>
      </w:r>
      <w:r>
        <w:rPr>
          <w:rFonts w:ascii="Cambria" w:eastAsia="Cambria" w:hAnsi="Cambria" w:cs="Cambria"/>
          <w:sz w:val="22"/>
          <w:szCs w:val="22"/>
        </w:rPr>
        <w:t>标的企业扣除非经常性损益前后孰低原则确定</w:t>
      </w:r>
      <w:r>
        <w:rPr>
          <w:rFonts w:ascii="Times"/>
          <w:sz w:val="22"/>
          <w:szCs w:val="22"/>
          <w:lang w:val="en-US"/>
        </w:rPr>
        <w:t>)</w:t>
      </w:r>
      <w:r>
        <w:rPr>
          <w:rFonts w:ascii="Cambria" w:eastAsia="Cambria" w:hAnsi="Cambria" w:cs="Cambria"/>
          <w:sz w:val="22"/>
          <w:szCs w:val="22"/>
        </w:rPr>
        <w:t>不低于</w:t>
      </w:r>
      <w:r>
        <w:rPr>
          <w:rFonts w:ascii="Times"/>
          <w:sz w:val="22"/>
          <w:szCs w:val="22"/>
          <w:lang w:val="en-US"/>
        </w:rPr>
        <w:t xml:space="preserve"> </w:t>
      </w:r>
      <w:r>
        <w:rPr>
          <w:rFonts w:ascii="Times New Roman"/>
          <w:sz w:val="22"/>
          <w:szCs w:val="22"/>
          <w:lang w:val="en-US"/>
        </w:rPr>
        <w:t xml:space="preserve">2,700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则华媒控</w:t>
      </w:r>
      <w:r>
        <w:rPr>
          <w:rFonts w:ascii="Times"/>
          <w:sz w:val="22"/>
          <w:szCs w:val="22"/>
          <w:lang w:val="en-US"/>
        </w:rPr>
        <w:t xml:space="preserve"> </w:t>
      </w:r>
      <w:r>
        <w:rPr>
          <w:rFonts w:ascii="Cambria" w:eastAsia="Cambria" w:hAnsi="Cambria" w:cs="Cambria"/>
          <w:sz w:val="22"/>
          <w:szCs w:val="22"/>
        </w:rPr>
        <w:t>股将于标的公司</w:t>
      </w:r>
      <w:r>
        <w:rPr>
          <w:rFonts w:ascii="Times"/>
          <w:sz w:val="22"/>
          <w:szCs w:val="22"/>
          <w:lang w:val="en-US"/>
        </w:rPr>
        <w:t xml:space="preserve"> </w:t>
      </w:r>
      <w:r>
        <w:rPr>
          <w:rFonts w:ascii="Times New Roman"/>
          <w:sz w:val="22"/>
          <w:szCs w:val="22"/>
          <w:lang w:val="en-US"/>
        </w:rPr>
        <w:t xml:space="preserve">2015 </w:t>
      </w:r>
      <w:r>
        <w:rPr>
          <w:rFonts w:ascii="Cambria" w:eastAsia="Cambria" w:hAnsi="Cambria" w:cs="Cambria"/>
          <w:sz w:val="22"/>
          <w:szCs w:val="22"/>
        </w:rPr>
        <w:t>年度经审计财务报告出具后五个工作日内启动第二次</w:t>
      </w:r>
      <w:r>
        <w:rPr>
          <w:rFonts w:ascii="Times"/>
          <w:sz w:val="22"/>
          <w:szCs w:val="22"/>
          <w:lang w:val="en-US"/>
        </w:rPr>
        <w:t xml:space="preserve"> </w:t>
      </w:r>
      <w:r>
        <w:rPr>
          <w:rFonts w:ascii="Cambria" w:eastAsia="Cambria" w:hAnsi="Cambria" w:cs="Cambria"/>
          <w:sz w:val="22"/>
          <w:szCs w:val="22"/>
        </w:rPr>
        <w:t>收购的相关流程</w:t>
      </w:r>
      <w:r>
        <w:rPr>
          <w:rFonts w:ascii="Times"/>
          <w:sz w:val="22"/>
          <w:szCs w:val="22"/>
          <w:lang w:val="en-US"/>
        </w:rPr>
        <w:t>,</w:t>
      </w:r>
      <w:r>
        <w:rPr>
          <w:rFonts w:ascii="Cambria" w:eastAsia="Cambria" w:hAnsi="Cambria" w:cs="Cambria"/>
          <w:sz w:val="22"/>
          <w:szCs w:val="22"/>
        </w:rPr>
        <w:t>按本次收购的估值支付交易对价</w:t>
      </w:r>
      <w:r>
        <w:rPr>
          <w:rFonts w:ascii="Times"/>
          <w:sz w:val="22"/>
          <w:szCs w:val="22"/>
          <w:lang w:val="en-US"/>
        </w:rPr>
        <w:t xml:space="preserve"> </w:t>
      </w:r>
      <w:r>
        <w:rPr>
          <w:rFonts w:ascii="Times New Roman"/>
          <w:sz w:val="22"/>
          <w:szCs w:val="22"/>
          <w:lang w:val="en-US"/>
        </w:rPr>
        <w:t xml:space="preserve">10,752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再次收购标</w:t>
      </w:r>
      <w:r>
        <w:rPr>
          <w:rFonts w:ascii="Times"/>
          <w:sz w:val="22"/>
          <w:szCs w:val="22"/>
          <w:lang w:val="en-US"/>
        </w:rPr>
        <w:t xml:space="preserve"> </w:t>
      </w:r>
      <w:r>
        <w:rPr>
          <w:rFonts w:ascii="Cambria" w:eastAsia="Cambria" w:hAnsi="Cambria" w:cs="Cambria"/>
          <w:sz w:val="22"/>
          <w:szCs w:val="22"/>
        </w:rPr>
        <w:t>的公司</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股权。</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若第二次收购完成且标的公司</w:t>
      </w:r>
      <w:r>
        <w:rPr>
          <w:rFonts w:ascii="Times"/>
          <w:sz w:val="22"/>
          <w:szCs w:val="22"/>
          <w:lang w:val="en-US"/>
        </w:rPr>
        <w:t xml:space="preserve"> </w:t>
      </w:r>
      <w:r>
        <w:rPr>
          <w:rFonts w:ascii="Times New Roman"/>
          <w:sz w:val="22"/>
          <w:szCs w:val="22"/>
          <w:lang w:val="en-US"/>
        </w:rPr>
        <w:t>2015</w:t>
      </w:r>
      <w:r>
        <w:rPr>
          <w:rFonts w:ascii="Cambria" w:eastAsia="Cambria" w:hAnsi="Cambria" w:cs="Cambria"/>
          <w:sz w:val="22"/>
          <w:szCs w:val="22"/>
        </w:rPr>
        <w:t>、</w:t>
      </w:r>
      <w:r>
        <w:rPr>
          <w:rFonts w:ascii="Times New Roman"/>
          <w:sz w:val="22"/>
          <w:szCs w:val="22"/>
          <w:lang w:val="en-US"/>
        </w:rPr>
        <w:t xml:space="preserve">2016 </w:t>
      </w:r>
      <w:r>
        <w:rPr>
          <w:rFonts w:ascii="Cambria" w:eastAsia="Cambria" w:hAnsi="Cambria" w:cs="Cambria"/>
          <w:sz w:val="22"/>
          <w:szCs w:val="22"/>
        </w:rPr>
        <w:t>和</w:t>
      </w:r>
      <w:r>
        <w:rPr>
          <w:rFonts w:ascii="Times"/>
          <w:sz w:val="22"/>
          <w:szCs w:val="22"/>
          <w:lang w:val="en-US"/>
        </w:rPr>
        <w:t xml:space="preserve"> </w:t>
      </w:r>
      <w:r>
        <w:rPr>
          <w:rFonts w:ascii="Times New Roman"/>
          <w:sz w:val="22"/>
          <w:szCs w:val="22"/>
          <w:lang w:val="en-US"/>
        </w:rPr>
        <w:t xml:space="preserve">2017 </w:t>
      </w:r>
      <w:r>
        <w:rPr>
          <w:rFonts w:ascii="Cambria" w:eastAsia="Cambria" w:hAnsi="Cambria" w:cs="Cambria"/>
          <w:sz w:val="22"/>
          <w:szCs w:val="22"/>
        </w:rPr>
        <w:t>年度实现的归属母公</w:t>
      </w:r>
      <w:r>
        <w:rPr>
          <w:rFonts w:ascii="Times"/>
          <w:sz w:val="22"/>
          <w:szCs w:val="22"/>
          <w:lang w:val="en-US"/>
        </w:rPr>
        <w:t xml:space="preserve"> </w:t>
      </w:r>
      <w:r>
        <w:rPr>
          <w:rFonts w:ascii="Cambria" w:eastAsia="Cambria" w:hAnsi="Cambria" w:cs="Cambria"/>
          <w:sz w:val="22"/>
          <w:szCs w:val="22"/>
        </w:rPr>
        <w:t>司净利润</w:t>
      </w:r>
      <w:r>
        <w:rPr>
          <w:rFonts w:ascii="Times"/>
          <w:sz w:val="22"/>
          <w:szCs w:val="22"/>
          <w:lang w:val="en-US"/>
        </w:rPr>
        <w:t>(</w:t>
      </w:r>
      <w:r>
        <w:rPr>
          <w:rFonts w:ascii="Cambria" w:eastAsia="Cambria" w:hAnsi="Cambria" w:cs="Cambria"/>
          <w:sz w:val="22"/>
          <w:szCs w:val="22"/>
        </w:rPr>
        <w:t>根据标的企业扣除非经常性损益前后孰低原则确定</w:t>
      </w:r>
      <w:r>
        <w:rPr>
          <w:rFonts w:ascii="Times"/>
          <w:sz w:val="22"/>
          <w:szCs w:val="22"/>
          <w:lang w:val="en-US"/>
        </w:rPr>
        <w:t>)</w:t>
      </w:r>
      <w:r>
        <w:rPr>
          <w:rFonts w:ascii="Cambria" w:eastAsia="Cambria" w:hAnsi="Cambria" w:cs="Cambria"/>
          <w:sz w:val="22"/>
          <w:szCs w:val="22"/>
        </w:rPr>
        <w:t>分别不低于</w:t>
      </w:r>
      <w:r>
        <w:rPr>
          <w:rFonts w:ascii="Times"/>
          <w:sz w:val="22"/>
          <w:szCs w:val="22"/>
          <w:lang w:val="en-US"/>
        </w:rPr>
        <w:t xml:space="preserve"> </w:t>
      </w:r>
      <w:r>
        <w:rPr>
          <w:rFonts w:ascii="Times New Roman"/>
          <w:sz w:val="22"/>
          <w:szCs w:val="22"/>
          <w:lang w:val="en-US"/>
        </w:rPr>
        <w:t>2,700</w:t>
      </w:r>
      <w:r>
        <w:rPr>
          <w:rFonts w:ascii="Cambria" w:eastAsia="Cambria" w:hAnsi="Cambria" w:cs="Cambria"/>
          <w:sz w:val="22"/>
          <w:szCs w:val="22"/>
        </w:rPr>
        <w:t>、</w:t>
      </w:r>
      <w:r>
        <w:rPr>
          <w:rFonts w:ascii="Times New Roman"/>
          <w:sz w:val="22"/>
          <w:szCs w:val="22"/>
          <w:lang w:val="en-US"/>
        </w:rPr>
        <w:t>3,240</w:t>
      </w:r>
      <w:r>
        <w:rPr>
          <w:rFonts w:ascii="Cambria" w:eastAsia="Cambria" w:hAnsi="Cambria" w:cs="Cambria"/>
          <w:sz w:val="22"/>
          <w:szCs w:val="22"/>
        </w:rPr>
        <w:t>、</w:t>
      </w:r>
      <w:r>
        <w:rPr>
          <w:rFonts w:ascii="Times New Roman"/>
          <w:sz w:val="22"/>
          <w:szCs w:val="22"/>
          <w:lang w:val="en-US"/>
        </w:rPr>
        <w:t xml:space="preserve">3,888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则华媒控股将于标的公司</w:t>
      </w:r>
      <w:r>
        <w:rPr>
          <w:rFonts w:ascii="Times"/>
          <w:sz w:val="22"/>
          <w:szCs w:val="22"/>
          <w:lang w:val="en-US"/>
        </w:rPr>
        <w:t xml:space="preserve"> </w:t>
      </w:r>
      <w:r>
        <w:rPr>
          <w:rFonts w:ascii="Times New Roman"/>
          <w:sz w:val="22"/>
          <w:szCs w:val="22"/>
          <w:lang w:val="en-US"/>
        </w:rPr>
        <w:t xml:space="preserve">2017 </w:t>
      </w:r>
      <w:r>
        <w:rPr>
          <w:rFonts w:ascii="Cambria" w:eastAsia="Cambria" w:hAnsi="Cambria" w:cs="Cambria"/>
          <w:sz w:val="22"/>
          <w:szCs w:val="22"/>
        </w:rPr>
        <w:t>年度经审计财务</w:t>
      </w:r>
      <w:r>
        <w:rPr>
          <w:rFonts w:ascii="Times"/>
          <w:sz w:val="22"/>
          <w:szCs w:val="22"/>
          <w:lang w:val="en-US"/>
        </w:rPr>
        <w:t xml:space="preserve"> </w:t>
      </w:r>
      <w:r>
        <w:rPr>
          <w:rFonts w:ascii="Cambria" w:eastAsia="Cambria" w:hAnsi="Cambria" w:cs="Cambria"/>
          <w:sz w:val="22"/>
          <w:szCs w:val="22"/>
        </w:rPr>
        <w:t>报告出具后五个工作日内启动补偿机制</w:t>
      </w:r>
      <w:r>
        <w:rPr>
          <w:rFonts w:ascii="Times"/>
          <w:sz w:val="22"/>
          <w:szCs w:val="22"/>
          <w:lang w:val="en-US"/>
        </w:rPr>
        <w:t>,</w:t>
      </w:r>
      <w:r>
        <w:rPr>
          <w:rFonts w:ascii="Cambria" w:eastAsia="Cambria" w:hAnsi="Cambria" w:cs="Cambria"/>
          <w:sz w:val="22"/>
          <w:szCs w:val="22"/>
        </w:rPr>
        <w:t>即按本次收购的估值倍数</w:t>
      </w:r>
      <w:r>
        <w:rPr>
          <w:rFonts w:ascii="Times"/>
          <w:sz w:val="22"/>
          <w:szCs w:val="22"/>
          <w:lang w:val="en-US"/>
        </w:rPr>
        <w:t xml:space="preserve"> </w:t>
      </w:r>
      <w:r>
        <w:rPr>
          <w:rFonts w:ascii="Times New Roman"/>
          <w:sz w:val="22"/>
          <w:szCs w:val="22"/>
          <w:lang w:val="en-US"/>
        </w:rPr>
        <w:t xml:space="preserve">12.8 </w:t>
      </w:r>
      <w:r>
        <w:rPr>
          <w:rFonts w:ascii="Cambria" w:eastAsia="Cambria" w:hAnsi="Cambria" w:cs="Cambria"/>
          <w:sz w:val="22"/>
          <w:szCs w:val="22"/>
        </w:rPr>
        <w:t>倍</w:t>
      </w:r>
      <w:r>
        <w:rPr>
          <w:rFonts w:ascii="Times"/>
          <w:sz w:val="22"/>
          <w:szCs w:val="22"/>
          <w:lang w:val="en-US"/>
        </w:rPr>
        <w:t xml:space="preserve">, </w:t>
      </w:r>
      <w:r>
        <w:rPr>
          <w:rFonts w:ascii="Cambria" w:eastAsia="Cambria" w:hAnsi="Cambria" w:cs="Cambria"/>
          <w:sz w:val="22"/>
          <w:szCs w:val="22"/>
        </w:rPr>
        <w:t>以</w:t>
      </w:r>
      <w:r>
        <w:rPr>
          <w:rFonts w:ascii="Times"/>
          <w:sz w:val="22"/>
          <w:szCs w:val="22"/>
          <w:lang w:val="en-US"/>
        </w:rPr>
        <w:t xml:space="preserve"> </w:t>
      </w:r>
      <w:r>
        <w:rPr>
          <w:rFonts w:ascii="Times New Roman"/>
          <w:sz w:val="22"/>
          <w:szCs w:val="22"/>
          <w:lang w:val="en-US"/>
        </w:rPr>
        <w:t>2,700</w:t>
      </w:r>
      <w:r>
        <w:rPr>
          <w:rFonts w:ascii="Cambria" w:eastAsia="Cambria" w:hAnsi="Cambria" w:cs="Cambria"/>
          <w:sz w:val="22"/>
          <w:szCs w:val="22"/>
        </w:rPr>
        <w:t>、</w:t>
      </w:r>
      <w:r>
        <w:rPr>
          <w:rFonts w:ascii="Times New Roman"/>
          <w:sz w:val="22"/>
          <w:szCs w:val="22"/>
          <w:lang w:val="en-US"/>
        </w:rPr>
        <w:t xml:space="preserve">3,240 </w:t>
      </w:r>
      <w:r>
        <w:rPr>
          <w:rFonts w:ascii="Cambria" w:eastAsia="Cambria" w:hAnsi="Cambria" w:cs="Cambria"/>
          <w:sz w:val="22"/>
          <w:szCs w:val="22"/>
        </w:rPr>
        <w:t>和</w:t>
      </w:r>
      <w:r>
        <w:rPr>
          <w:rFonts w:ascii="Times"/>
          <w:sz w:val="22"/>
          <w:szCs w:val="22"/>
          <w:lang w:val="en-US"/>
        </w:rPr>
        <w:t xml:space="preserve"> </w:t>
      </w:r>
      <w:r>
        <w:rPr>
          <w:rFonts w:ascii="Times New Roman"/>
          <w:sz w:val="22"/>
          <w:szCs w:val="22"/>
          <w:lang w:val="en-US"/>
        </w:rPr>
        <w:t xml:space="preserve">3,888 </w:t>
      </w:r>
      <w:r>
        <w:rPr>
          <w:rFonts w:ascii="Cambria" w:eastAsia="Cambria" w:hAnsi="Cambria" w:cs="Cambria"/>
          <w:sz w:val="22"/>
          <w:szCs w:val="22"/>
        </w:rPr>
        <w:t>万元的算术平均数</w:t>
      </w:r>
      <w:r>
        <w:rPr>
          <w:rFonts w:ascii="Times"/>
          <w:sz w:val="22"/>
          <w:szCs w:val="22"/>
          <w:lang w:val="en-US"/>
        </w:rPr>
        <w:t xml:space="preserve"> </w:t>
      </w:r>
      <w:r>
        <w:rPr>
          <w:rFonts w:ascii="Times New Roman"/>
          <w:sz w:val="22"/>
          <w:szCs w:val="22"/>
          <w:lang w:val="en-US"/>
        </w:rPr>
        <w:t xml:space="preserve">3,276 </w:t>
      </w:r>
      <w:r>
        <w:rPr>
          <w:rFonts w:ascii="Cambria" w:eastAsia="Cambria" w:hAnsi="Cambria" w:cs="Cambria"/>
          <w:sz w:val="22"/>
          <w:szCs w:val="22"/>
        </w:rPr>
        <w:t>万元为基数</w:t>
      </w:r>
      <w:r>
        <w:rPr>
          <w:rFonts w:ascii="Times"/>
          <w:sz w:val="22"/>
          <w:szCs w:val="22"/>
          <w:lang w:val="en-US"/>
        </w:rPr>
        <w:t>,</w:t>
      </w:r>
      <w:r>
        <w:rPr>
          <w:rFonts w:ascii="Cambria" w:eastAsia="Cambria" w:hAnsi="Cambria" w:cs="Cambria"/>
          <w:sz w:val="22"/>
          <w:szCs w:val="22"/>
        </w:rPr>
        <w:t>调整精典博</w:t>
      </w:r>
      <w:r>
        <w:rPr>
          <w:rFonts w:ascii="Times"/>
          <w:sz w:val="22"/>
          <w:szCs w:val="22"/>
          <w:lang w:val="en-US"/>
        </w:rPr>
        <w:t xml:space="preserve"> </w:t>
      </w:r>
      <w:r>
        <w:rPr>
          <w:rFonts w:ascii="Cambria" w:eastAsia="Cambria" w:hAnsi="Cambria" w:cs="Cambria"/>
          <w:sz w:val="22"/>
          <w:szCs w:val="22"/>
        </w:rPr>
        <w:t>维</w:t>
      </w:r>
      <w:r>
        <w:rPr>
          <w:rFonts w:ascii="Times"/>
          <w:sz w:val="22"/>
          <w:szCs w:val="22"/>
          <w:lang w:val="en-US"/>
        </w:rPr>
        <w:t xml:space="preserve"> </w:t>
      </w:r>
      <w:r>
        <w:rPr>
          <w:rFonts w:ascii="Times New Roman"/>
          <w:sz w:val="22"/>
          <w:szCs w:val="22"/>
          <w:lang w:val="en-US"/>
        </w:rPr>
        <w:t>100%</w:t>
      </w:r>
      <w:r>
        <w:rPr>
          <w:rFonts w:ascii="Cambria" w:eastAsia="Cambria" w:hAnsi="Cambria" w:cs="Cambria"/>
          <w:sz w:val="22"/>
          <w:szCs w:val="22"/>
        </w:rPr>
        <w:t>股权交易对价</w:t>
      </w:r>
      <w:r>
        <w:rPr>
          <w:rFonts w:ascii="Times"/>
          <w:sz w:val="22"/>
          <w:szCs w:val="22"/>
          <w:lang w:val="en-US"/>
        </w:rPr>
        <w:t>(</w:t>
      </w:r>
      <w:r>
        <w:rPr>
          <w:rFonts w:ascii="Cambria" w:eastAsia="Cambria" w:hAnsi="Cambria" w:cs="Cambria"/>
          <w:sz w:val="22"/>
          <w:szCs w:val="22"/>
        </w:rPr>
        <w:t>即标的公司</w:t>
      </w:r>
      <w:r>
        <w:rPr>
          <w:rFonts w:ascii="Times"/>
          <w:sz w:val="22"/>
          <w:szCs w:val="22"/>
          <w:lang w:val="en-US"/>
        </w:rPr>
        <w:t xml:space="preserve"> </w:t>
      </w:r>
      <w:r>
        <w:rPr>
          <w:rFonts w:ascii="Times New Roman"/>
          <w:sz w:val="22"/>
          <w:szCs w:val="22"/>
          <w:lang w:val="en-US"/>
        </w:rPr>
        <w:t>100%</w:t>
      </w:r>
      <w:r>
        <w:rPr>
          <w:rFonts w:ascii="Cambria" w:eastAsia="Cambria" w:hAnsi="Cambria" w:cs="Cambria"/>
          <w:sz w:val="22"/>
          <w:szCs w:val="22"/>
        </w:rPr>
        <w:t>股权价格由</w:t>
      </w:r>
      <w:r>
        <w:rPr>
          <w:rFonts w:ascii="Times"/>
          <w:sz w:val="22"/>
          <w:szCs w:val="22"/>
          <w:lang w:val="en-US"/>
        </w:rPr>
        <w:t xml:space="preserve"> </w:t>
      </w:r>
      <w:r>
        <w:rPr>
          <w:rFonts w:ascii="Times New Roman"/>
          <w:sz w:val="22"/>
          <w:szCs w:val="22"/>
          <w:lang w:val="en-US"/>
        </w:rPr>
        <w:t xml:space="preserve">30,720 </w:t>
      </w:r>
      <w:r>
        <w:rPr>
          <w:rFonts w:ascii="Cambria" w:eastAsia="Cambria" w:hAnsi="Cambria" w:cs="Cambria"/>
          <w:sz w:val="22"/>
          <w:szCs w:val="22"/>
        </w:rPr>
        <w:t>万元调整至</w:t>
      </w:r>
      <w:r>
        <w:rPr>
          <w:rFonts w:ascii="Times"/>
          <w:sz w:val="22"/>
          <w:szCs w:val="22"/>
          <w:lang w:val="en-US"/>
        </w:rPr>
        <w:t xml:space="preserve"> </w:t>
      </w:r>
      <w:r>
        <w:rPr>
          <w:rFonts w:ascii="Times New Roman"/>
          <w:sz w:val="22"/>
          <w:szCs w:val="22"/>
          <w:lang w:val="en-US"/>
        </w:rPr>
        <w:t xml:space="preserve">41,932.8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对已收购标的公司的</w:t>
      </w:r>
      <w:r>
        <w:rPr>
          <w:rFonts w:ascii="Times"/>
          <w:sz w:val="22"/>
          <w:szCs w:val="22"/>
          <w:lang w:val="en-US"/>
        </w:rPr>
        <w:t xml:space="preserve"> </w:t>
      </w:r>
      <w:r>
        <w:rPr>
          <w:rFonts w:ascii="Times New Roman"/>
          <w:sz w:val="22"/>
          <w:szCs w:val="22"/>
          <w:lang w:val="en-US"/>
        </w:rPr>
        <w:t>70%</w:t>
      </w:r>
      <w:r>
        <w:rPr>
          <w:rFonts w:ascii="Cambria" w:eastAsia="Cambria" w:hAnsi="Cambria" w:cs="Cambria"/>
          <w:sz w:val="22"/>
          <w:szCs w:val="22"/>
        </w:rPr>
        <w:t>股权进行作价调整补偿</w:t>
      </w:r>
      <w:r>
        <w:rPr>
          <w:rFonts w:ascii="Times"/>
          <w:sz w:val="22"/>
          <w:szCs w:val="22"/>
          <w:lang w:val="en-US"/>
        </w:rPr>
        <w:t>,</w:t>
      </w:r>
      <w:r>
        <w:rPr>
          <w:rFonts w:ascii="Cambria" w:eastAsia="Cambria" w:hAnsi="Cambria" w:cs="Cambria"/>
          <w:sz w:val="22"/>
          <w:szCs w:val="22"/>
        </w:rPr>
        <w:t>补偿价款</w:t>
      </w:r>
      <w:r>
        <w:rPr>
          <w:rFonts w:ascii="Times"/>
          <w:sz w:val="22"/>
          <w:szCs w:val="22"/>
          <w:lang w:val="en-US"/>
        </w:rPr>
        <w:t xml:space="preserve"> </w:t>
      </w:r>
      <w:r>
        <w:rPr>
          <w:rFonts w:ascii="Cambria" w:eastAsia="Cambria" w:hAnsi="Cambria" w:cs="Cambria"/>
          <w:sz w:val="22"/>
          <w:szCs w:val="22"/>
        </w:rPr>
        <w:t>合计不超过</w:t>
      </w:r>
      <w:r>
        <w:rPr>
          <w:rFonts w:ascii="Times"/>
          <w:sz w:val="22"/>
          <w:szCs w:val="22"/>
          <w:lang w:val="en-US"/>
        </w:rPr>
        <w:t xml:space="preserve"> </w:t>
      </w:r>
      <w:r>
        <w:rPr>
          <w:rFonts w:ascii="Times New Roman"/>
          <w:sz w:val="22"/>
          <w:szCs w:val="22"/>
          <w:lang w:val="en-US"/>
        </w:rPr>
        <w:t xml:space="preserve">7,848.96 </w:t>
      </w:r>
      <w:r>
        <w:rPr>
          <w:rFonts w:ascii="Cambria" w:eastAsia="Cambria" w:hAnsi="Cambria" w:cs="Cambria"/>
          <w:sz w:val="22"/>
          <w:szCs w:val="22"/>
        </w:rPr>
        <w:t>万元。此外</w:t>
      </w:r>
      <w:r>
        <w:rPr>
          <w:rFonts w:ascii="Times"/>
          <w:sz w:val="22"/>
          <w:szCs w:val="22"/>
          <w:lang w:val="en-US"/>
        </w:rPr>
        <w:t>,</w:t>
      </w:r>
      <w:r>
        <w:rPr>
          <w:rFonts w:ascii="Cambria" w:eastAsia="Cambria" w:hAnsi="Cambria" w:cs="Cambria"/>
          <w:sz w:val="22"/>
          <w:szCs w:val="22"/>
        </w:rPr>
        <w:t>为激励精典博维原股东、管理团队和骨干</w:t>
      </w:r>
      <w:r>
        <w:rPr>
          <w:rFonts w:ascii="Times"/>
          <w:sz w:val="22"/>
          <w:szCs w:val="22"/>
          <w:lang w:val="en-US"/>
        </w:rPr>
        <w:t xml:space="preserve"> </w:t>
      </w:r>
      <w:r>
        <w:rPr>
          <w:rFonts w:ascii="Cambria" w:eastAsia="Cambria" w:hAnsi="Cambria" w:cs="Cambria"/>
          <w:sz w:val="22"/>
          <w:szCs w:val="22"/>
        </w:rPr>
        <w:t>员工</w:t>
      </w:r>
      <w:r>
        <w:rPr>
          <w:rFonts w:ascii="Times"/>
          <w:sz w:val="22"/>
          <w:szCs w:val="22"/>
          <w:lang w:val="en-US"/>
        </w:rPr>
        <w:t>,</w:t>
      </w:r>
      <w:r>
        <w:rPr>
          <w:rFonts w:ascii="Cambria" w:eastAsia="Cambria" w:hAnsi="Cambria" w:cs="Cambria"/>
          <w:sz w:val="22"/>
          <w:szCs w:val="22"/>
        </w:rPr>
        <w:t>同意将完成的实际净利润</w:t>
      </w:r>
      <w:r>
        <w:rPr>
          <w:rFonts w:ascii="Times"/>
          <w:sz w:val="22"/>
          <w:szCs w:val="22"/>
          <w:lang w:val="en-US"/>
        </w:rPr>
        <w:t>(</w:t>
      </w:r>
      <w:r>
        <w:rPr>
          <w:rFonts w:ascii="Cambria" w:eastAsia="Cambria" w:hAnsi="Cambria" w:cs="Cambria"/>
          <w:sz w:val="22"/>
          <w:szCs w:val="22"/>
        </w:rPr>
        <w:t>根据标的公司扣除非经常性损益前后孰低</w:t>
      </w:r>
      <w:r>
        <w:rPr>
          <w:rFonts w:ascii="Times"/>
          <w:sz w:val="22"/>
          <w:szCs w:val="22"/>
          <w:lang w:val="en-US"/>
        </w:rPr>
        <w:t xml:space="preserve"> </w:t>
      </w:r>
      <w:r>
        <w:rPr>
          <w:rFonts w:ascii="Cambria" w:eastAsia="Cambria" w:hAnsi="Cambria" w:cs="Cambria"/>
          <w:sz w:val="22"/>
          <w:szCs w:val="22"/>
        </w:rPr>
        <w:t>原则确定</w:t>
      </w:r>
      <w:r>
        <w:rPr>
          <w:rFonts w:ascii="Times"/>
          <w:sz w:val="22"/>
          <w:szCs w:val="22"/>
          <w:lang w:val="en-US"/>
        </w:rPr>
        <w:t>)</w:t>
      </w:r>
      <w:r>
        <w:rPr>
          <w:rFonts w:ascii="Cambria" w:eastAsia="Cambria" w:hAnsi="Cambria" w:cs="Cambria"/>
          <w:sz w:val="22"/>
          <w:szCs w:val="22"/>
        </w:rPr>
        <w:t>超过承诺利润的</w:t>
      </w:r>
      <w:r>
        <w:rPr>
          <w:rFonts w:ascii="Times"/>
          <w:sz w:val="22"/>
          <w:szCs w:val="22"/>
          <w:lang w:val="en-US"/>
        </w:rPr>
        <w:t xml:space="preserve"> </w:t>
      </w:r>
      <w:r>
        <w:rPr>
          <w:rFonts w:ascii="Times New Roman"/>
          <w:sz w:val="22"/>
          <w:szCs w:val="22"/>
          <w:lang w:val="en-US"/>
        </w:rPr>
        <w:t>30%</w:t>
      </w:r>
      <w:r>
        <w:rPr>
          <w:rFonts w:ascii="Cambria" w:eastAsia="Cambria" w:hAnsi="Cambria" w:cs="Cambria"/>
          <w:sz w:val="22"/>
          <w:szCs w:val="22"/>
        </w:rPr>
        <w:t>部分奖励给精典博维原股东、管理团队或骨干员工。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同时</w:t>
      </w:r>
      <w:r>
        <w:rPr>
          <w:rFonts w:ascii="Times"/>
          <w:sz w:val="22"/>
          <w:szCs w:val="22"/>
          <w:lang w:val="en-US"/>
        </w:rPr>
        <w:t>,</w:t>
      </w:r>
      <w:r>
        <w:rPr>
          <w:rFonts w:ascii="Cambria" w:eastAsia="Cambria" w:hAnsi="Cambria" w:cs="Cambria"/>
          <w:sz w:val="22"/>
          <w:szCs w:val="22"/>
        </w:rPr>
        <w:t>华媒控股还将按本次收购的估值倍数</w:t>
      </w:r>
      <w:r>
        <w:rPr>
          <w:rFonts w:ascii="Times"/>
          <w:sz w:val="22"/>
          <w:szCs w:val="22"/>
          <w:lang w:val="en-US"/>
        </w:rPr>
        <w:t xml:space="preserve"> </w:t>
      </w:r>
      <w:r>
        <w:rPr>
          <w:rFonts w:ascii="Times New Roman"/>
          <w:sz w:val="22"/>
          <w:szCs w:val="22"/>
          <w:lang w:val="en-US"/>
        </w:rPr>
        <w:t xml:space="preserve">12.8 </w:t>
      </w:r>
      <w:r>
        <w:rPr>
          <w:rFonts w:ascii="Cambria" w:eastAsia="Cambria" w:hAnsi="Cambria" w:cs="Cambria"/>
          <w:sz w:val="22"/>
          <w:szCs w:val="22"/>
        </w:rPr>
        <w:t>倍</w:t>
      </w:r>
      <w:r>
        <w:rPr>
          <w:rFonts w:ascii="Times"/>
          <w:sz w:val="22"/>
          <w:szCs w:val="22"/>
          <w:lang w:val="en-US"/>
        </w:rPr>
        <w:t>,</w:t>
      </w:r>
      <w:r>
        <w:rPr>
          <w:rFonts w:ascii="Cambria" w:eastAsia="Cambria" w:hAnsi="Cambria" w:cs="Cambria"/>
          <w:sz w:val="22"/>
          <w:szCs w:val="22"/>
        </w:rPr>
        <w:t>以</w:t>
      </w:r>
      <w:r>
        <w:rPr>
          <w:rFonts w:ascii="Times"/>
          <w:sz w:val="22"/>
          <w:szCs w:val="22"/>
          <w:lang w:val="en-US"/>
        </w:rPr>
        <w:t xml:space="preserve"> </w:t>
      </w:r>
      <w:r>
        <w:rPr>
          <w:rFonts w:ascii="Times New Roman"/>
          <w:sz w:val="22"/>
          <w:szCs w:val="22"/>
          <w:lang w:val="en-US"/>
        </w:rPr>
        <w:t xml:space="preserve">3,888 </w:t>
      </w:r>
      <w:r>
        <w:rPr>
          <w:rFonts w:ascii="Cambria" w:eastAsia="Cambria" w:hAnsi="Cambria" w:cs="Cambria"/>
          <w:sz w:val="22"/>
          <w:szCs w:val="22"/>
        </w:rPr>
        <w:t>万元为基数</w:t>
      </w:r>
      <w:r>
        <w:rPr>
          <w:rFonts w:ascii="Times"/>
          <w:sz w:val="22"/>
          <w:szCs w:val="22"/>
          <w:lang w:val="en-US"/>
        </w:rPr>
        <w:t>,</w:t>
      </w:r>
      <w:r>
        <w:rPr>
          <w:rFonts w:ascii="Cambria" w:eastAsia="Cambria" w:hAnsi="Cambria" w:cs="Cambria"/>
          <w:sz w:val="22"/>
          <w:szCs w:val="22"/>
        </w:rPr>
        <w:t>调整精典博维</w:t>
      </w:r>
      <w:r>
        <w:rPr>
          <w:rFonts w:ascii="Times"/>
          <w:sz w:val="22"/>
          <w:szCs w:val="22"/>
          <w:lang w:val="en-US"/>
        </w:rPr>
        <w:t xml:space="preserve"> </w:t>
      </w:r>
      <w:r>
        <w:rPr>
          <w:rFonts w:ascii="Times New Roman"/>
          <w:sz w:val="22"/>
          <w:szCs w:val="22"/>
          <w:lang w:val="en-US"/>
        </w:rPr>
        <w:t>100%</w:t>
      </w:r>
      <w:r>
        <w:rPr>
          <w:rFonts w:ascii="Cambria" w:eastAsia="Cambria" w:hAnsi="Cambria" w:cs="Cambria"/>
          <w:sz w:val="22"/>
          <w:szCs w:val="22"/>
        </w:rPr>
        <w:t>股权交易对价</w:t>
      </w:r>
      <w:r>
        <w:rPr>
          <w:rFonts w:ascii="Times"/>
          <w:sz w:val="22"/>
          <w:szCs w:val="22"/>
          <w:lang w:val="en-US"/>
        </w:rPr>
        <w:t>(</w:t>
      </w:r>
      <w:r>
        <w:rPr>
          <w:rFonts w:ascii="Cambria" w:eastAsia="Cambria" w:hAnsi="Cambria" w:cs="Cambria"/>
          <w:sz w:val="22"/>
          <w:szCs w:val="22"/>
        </w:rPr>
        <w:t>即标的公司</w:t>
      </w:r>
      <w:r>
        <w:rPr>
          <w:rFonts w:ascii="Times"/>
          <w:sz w:val="22"/>
          <w:szCs w:val="22"/>
          <w:lang w:val="en-US"/>
        </w:rPr>
        <w:t xml:space="preserve"> </w:t>
      </w:r>
      <w:r>
        <w:rPr>
          <w:rFonts w:ascii="Times New Roman"/>
          <w:sz w:val="22"/>
          <w:szCs w:val="22"/>
          <w:lang w:val="en-US"/>
        </w:rPr>
        <w:t>100%</w:t>
      </w:r>
      <w:r>
        <w:rPr>
          <w:rFonts w:ascii="Cambria" w:eastAsia="Cambria" w:hAnsi="Cambria" w:cs="Cambria"/>
          <w:sz w:val="22"/>
          <w:szCs w:val="22"/>
        </w:rPr>
        <w:t>股权价格由</w:t>
      </w:r>
      <w:r>
        <w:rPr>
          <w:rFonts w:ascii="Times"/>
          <w:sz w:val="22"/>
          <w:szCs w:val="22"/>
          <w:lang w:val="en-US"/>
        </w:rPr>
        <w:t xml:space="preserve"> </w:t>
      </w:r>
      <w:r>
        <w:rPr>
          <w:rFonts w:ascii="Times New Roman"/>
          <w:sz w:val="22"/>
          <w:szCs w:val="22"/>
          <w:lang w:val="en-US"/>
        </w:rPr>
        <w:t xml:space="preserve">30,720 </w:t>
      </w:r>
      <w:r>
        <w:rPr>
          <w:rFonts w:ascii="Cambria" w:eastAsia="Cambria" w:hAnsi="Cambria" w:cs="Cambria"/>
          <w:sz w:val="22"/>
          <w:szCs w:val="22"/>
        </w:rPr>
        <w:t>万元调整至</w:t>
      </w:r>
      <w:r>
        <w:rPr>
          <w:rFonts w:ascii="Times"/>
          <w:sz w:val="22"/>
          <w:szCs w:val="22"/>
          <w:lang w:val="en-US"/>
        </w:rPr>
        <w:t xml:space="preserve"> </w:t>
      </w:r>
      <w:r>
        <w:rPr>
          <w:rFonts w:ascii="Times New Roman"/>
          <w:sz w:val="22"/>
          <w:szCs w:val="22"/>
          <w:lang w:val="en-US"/>
        </w:rPr>
        <w:t xml:space="preserve">49,766.4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并收购标的公司剩余股权</w:t>
      </w:r>
      <w:r>
        <w:rPr>
          <w:rFonts w:ascii="Times"/>
          <w:sz w:val="22"/>
          <w:szCs w:val="22"/>
          <w:lang w:val="en-US"/>
        </w:rPr>
        <w:t>,</w:t>
      </w:r>
      <w:r>
        <w:rPr>
          <w:rFonts w:ascii="Cambria" w:eastAsia="Cambria" w:hAnsi="Cambria" w:cs="Cambria"/>
          <w:sz w:val="22"/>
          <w:szCs w:val="22"/>
        </w:rPr>
        <w:t>收购价款不超过</w:t>
      </w:r>
      <w:r>
        <w:rPr>
          <w:rFonts w:ascii="Times"/>
          <w:sz w:val="22"/>
          <w:szCs w:val="22"/>
          <w:lang w:val="en-US"/>
        </w:rPr>
        <w:t xml:space="preserve"> </w:t>
      </w:r>
      <w:r>
        <w:rPr>
          <w:rFonts w:ascii="Times New Roman"/>
          <w:sz w:val="22"/>
          <w:szCs w:val="22"/>
          <w:lang w:val="en-US"/>
        </w:rPr>
        <w:t xml:space="preserve">14,929.92 </w:t>
      </w:r>
      <w:r>
        <w:rPr>
          <w:rFonts w:ascii="Cambria" w:eastAsia="Cambria" w:hAnsi="Cambria" w:cs="Cambria"/>
          <w:sz w:val="22"/>
          <w:szCs w:val="22"/>
        </w:rPr>
        <w:t>万元。</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 xml:space="preserve">2017 </w:t>
      </w:r>
      <w:r>
        <w:rPr>
          <w:rFonts w:ascii="Cambria" w:eastAsia="Cambria" w:hAnsi="Cambria" w:cs="Cambria"/>
          <w:sz w:val="22"/>
          <w:szCs w:val="22"/>
        </w:rPr>
        <w:t>年收购完成后</w:t>
      </w:r>
      <w:r>
        <w:rPr>
          <w:rFonts w:ascii="Times"/>
          <w:sz w:val="22"/>
          <w:szCs w:val="22"/>
          <w:lang w:val="en-US"/>
        </w:rPr>
        <w:t>,</w:t>
      </w:r>
      <w:r>
        <w:rPr>
          <w:rFonts w:ascii="Cambria" w:eastAsia="Cambria" w:hAnsi="Cambria" w:cs="Cambria"/>
          <w:sz w:val="22"/>
          <w:szCs w:val="22"/>
        </w:rPr>
        <w:t>标的公司原实际控制人陈黎明承诺</w:t>
      </w:r>
      <w:r>
        <w:rPr>
          <w:rFonts w:ascii="Times"/>
          <w:sz w:val="22"/>
          <w:szCs w:val="22"/>
          <w:lang w:val="en-US"/>
        </w:rPr>
        <w:t xml:space="preserve"> </w:t>
      </w:r>
      <w:r>
        <w:rPr>
          <w:rFonts w:ascii="Times New Roman"/>
          <w:sz w:val="22"/>
          <w:szCs w:val="22"/>
          <w:lang w:val="en-US"/>
        </w:rPr>
        <w:t xml:space="preserve">2018-2019 </w:t>
      </w:r>
      <w:r>
        <w:rPr>
          <w:rFonts w:ascii="Cambria" w:eastAsia="Cambria" w:hAnsi="Cambria" w:cs="Cambria"/>
          <w:sz w:val="22"/>
          <w:szCs w:val="22"/>
        </w:rPr>
        <w:t>年每</w:t>
      </w:r>
      <w:r>
        <w:rPr>
          <w:rFonts w:ascii="Times"/>
          <w:sz w:val="22"/>
          <w:szCs w:val="22"/>
          <w:lang w:val="en-US"/>
        </w:rPr>
        <w:t xml:space="preserve"> </w:t>
      </w:r>
      <w:r>
        <w:rPr>
          <w:rFonts w:ascii="Cambria" w:eastAsia="Cambria" w:hAnsi="Cambria" w:cs="Cambria"/>
          <w:sz w:val="22"/>
          <w:szCs w:val="22"/>
        </w:rPr>
        <w:t>年实现的归属母公司净利润</w:t>
      </w:r>
      <w:r>
        <w:rPr>
          <w:rFonts w:ascii="Times"/>
          <w:sz w:val="22"/>
          <w:szCs w:val="22"/>
          <w:lang w:val="en-US"/>
        </w:rPr>
        <w:t>(</w:t>
      </w:r>
      <w:r>
        <w:rPr>
          <w:rFonts w:ascii="Cambria" w:eastAsia="Cambria" w:hAnsi="Cambria" w:cs="Cambria"/>
          <w:sz w:val="22"/>
          <w:szCs w:val="22"/>
        </w:rPr>
        <w:t>根据标的公司扣除非经常性损益前后孰低原则</w:t>
      </w:r>
      <w:r>
        <w:rPr>
          <w:rFonts w:ascii="Times"/>
          <w:sz w:val="22"/>
          <w:szCs w:val="22"/>
          <w:lang w:val="en-US"/>
        </w:rPr>
        <w:t xml:space="preserve"> </w:t>
      </w:r>
      <w:r>
        <w:rPr>
          <w:rFonts w:ascii="Cambria" w:eastAsia="Cambria" w:hAnsi="Cambria" w:cs="Cambria"/>
          <w:sz w:val="22"/>
          <w:szCs w:val="22"/>
        </w:rPr>
        <w:t>确定</w:t>
      </w:r>
      <w:r>
        <w:rPr>
          <w:rFonts w:ascii="Times"/>
          <w:sz w:val="22"/>
          <w:szCs w:val="22"/>
          <w:lang w:val="en-US"/>
        </w:rPr>
        <w:t>)</w:t>
      </w:r>
      <w:r>
        <w:rPr>
          <w:rFonts w:ascii="Cambria" w:eastAsia="Cambria" w:hAnsi="Cambria" w:cs="Cambria"/>
          <w:sz w:val="22"/>
          <w:szCs w:val="22"/>
        </w:rPr>
        <w:t>较</w:t>
      </w:r>
      <w:r>
        <w:rPr>
          <w:rFonts w:ascii="Times"/>
          <w:sz w:val="22"/>
          <w:szCs w:val="22"/>
          <w:lang w:val="en-US"/>
        </w:rPr>
        <w:t xml:space="preserve"> </w:t>
      </w:r>
      <w:r>
        <w:rPr>
          <w:rFonts w:ascii="Times New Roman"/>
          <w:sz w:val="22"/>
          <w:szCs w:val="22"/>
          <w:lang w:val="en-US"/>
        </w:rPr>
        <w:t xml:space="preserve">3,888 </w:t>
      </w:r>
      <w:r>
        <w:rPr>
          <w:rFonts w:ascii="Cambria" w:eastAsia="Cambria" w:hAnsi="Cambria" w:cs="Cambria"/>
          <w:sz w:val="22"/>
          <w:szCs w:val="22"/>
        </w:rPr>
        <w:t>万元的年均复合增长率不低于</w:t>
      </w:r>
      <w:r>
        <w:rPr>
          <w:rFonts w:ascii="Times"/>
          <w:sz w:val="22"/>
          <w:szCs w:val="22"/>
          <w:lang w:val="en-US"/>
        </w:rPr>
        <w:t xml:space="preserve"> </w:t>
      </w:r>
      <w:r>
        <w:rPr>
          <w:rFonts w:ascii="Times New Roman"/>
          <w:sz w:val="22"/>
          <w:szCs w:val="22"/>
          <w:lang w:val="en-US"/>
        </w:rPr>
        <w:t>5%</w:t>
      </w:r>
      <w:r>
        <w:rPr>
          <w:rFonts w:ascii="Cambria" w:eastAsia="Cambria" w:hAnsi="Cambria" w:cs="Cambria"/>
          <w:sz w:val="22"/>
          <w:szCs w:val="22"/>
        </w:rPr>
        <w:t>。</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2</w:t>
      </w:r>
      <w:r>
        <w:rPr>
          <w:rFonts w:ascii="Cambria" w:eastAsia="Cambria" w:hAnsi="Cambria" w:cs="Cambria"/>
          <w:sz w:val="22"/>
          <w:szCs w:val="22"/>
        </w:rPr>
        <w:t>、业绩承诺</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精典博维在本次交易完成后的第一阶段利润补偿期间</w:t>
      </w:r>
      <w:r>
        <w:rPr>
          <w:rFonts w:ascii="Times"/>
          <w:sz w:val="22"/>
          <w:szCs w:val="22"/>
          <w:lang w:val="en-US"/>
        </w:rPr>
        <w:t>(</w:t>
      </w:r>
      <w:r>
        <w:rPr>
          <w:rFonts w:ascii="Times New Roman"/>
          <w:sz w:val="22"/>
          <w:szCs w:val="22"/>
          <w:lang w:val="en-US"/>
        </w:rPr>
        <w:t xml:space="preserve">2015 </w:t>
      </w:r>
      <w:r>
        <w:rPr>
          <w:rFonts w:ascii="Cambria" w:eastAsia="Cambria" w:hAnsi="Cambria" w:cs="Cambria"/>
          <w:sz w:val="22"/>
          <w:szCs w:val="22"/>
        </w:rPr>
        <w:t>年至</w:t>
      </w:r>
      <w:r>
        <w:rPr>
          <w:rFonts w:ascii="Times"/>
          <w:sz w:val="22"/>
          <w:szCs w:val="22"/>
          <w:lang w:val="en-US"/>
        </w:rPr>
        <w:t xml:space="preserve"> </w:t>
      </w:r>
      <w:r>
        <w:rPr>
          <w:rFonts w:ascii="Times New Roman"/>
          <w:sz w:val="22"/>
          <w:szCs w:val="22"/>
          <w:lang w:val="en-US"/>
        </w:rPr>
        <w:t xml:space="preserve">2017 </w:t>
      </w:r>
      <w:r>
        <w:rPr>
          <w:rFonts w:ascii="Cambria" w:eastAsia="Cambria" w:hAnsi="Cambria" w:cs="Cambria"/>
          <w:sz w:val="22"/>
          <w:szCs w:val="22"/>
        </w:rPr>
        <w:t>年</w:t>
      </w:r>
      <w:r>
        <w:rPr>
          <w:rFonts w:ascii="Times"/>
          <w:sz w:val="22"/>
          <w:szCs w:val="22"/>
          <w:lang w:val="en-US"/>
        </w:rPr>
        <w:t>)</w:t>
      </w:r>
      <w:r>
        <w:rPr>
          <w:rFonts w:ascii="Cambria" w:eastAsia="Cambria" w:hAnsi="Cambria" w:cs="Cambria"/>
          <w:sz w:val="22"/>
          <w:szCs w:val="22"/>
        </w:rPr>
        <w:t>承诺</w:t>
      </w:r>
      <w:r>
        <w:rPr>
          <w:rFonts w:ascii="Times"/>
          <w:sz w:val="22"/>
          <w:szCs w:val="22"/>
          <w:lang w:val="en-US"/>
        </w:rPr>
        <w:t>,</w:t>
      </w:r>
      <w:r>
        <w:rPr>
          <w:rFonts w:ascii="Cambria" w:eastAsia="Cambria" w:hAnsi="Cambria" w:cs="Cambria"/>
          <w:sz w:val="22"/>
          <w:szCs w:val="22"/>
        </w:rPr>
        <w:t>公司业绩将以具有证券从业资质的审计机构确定的</w:t>
      </w:r>
      <w:r>
        <w:rPr>
          <w:rFonts w:ascii="Times"/>
          <w:sz w:val="22"/>
          <w:szCs w:val="22"/>
          <w:lang w:val="en-US"/>
        </w:rPr>
        <w:t xml:space="preserve"> </w:t>
      </w:r>
      <w:r>
        <w:rPr>
          <w:rFonts w:ascii="Times New Roman"/>
          <w:sz w:val="22"/>
          <w:szCs w:val="22"/>
          <w:lang w:val="en-US"/>
        </w:rPr>
        <w:t xml:space="preserve">2015 </w:t>
      </w:r>
      <w:r>
        <w:rPr>
          <w:rFonts w:ascii="Cambria" w:eastAsia="Cambria" w:hAnsi="Cambria" w:cs="Cambria"/>
          <w:sz w:val="22"/>
          <w:szCs w:val="22"/>
        </w:rPr>
        <w:t>年预测</w:t>
      </w:r>
      <w:r>
        <w:rPr>
          <w:rFonts w:ascii="Times"/>
          <w:sz w:val="22"/>
          <w:szCs w:val="22"/>
          <w:lang w:val="en-US"/>
        </w:rPr>
        <w:t xml:space="preserve"> </w:t>
      </w:r>
      <w:r>
        <w:rPr>
          <w:rFonts w:ascii="Cambria" w:eastAsia="Cambria" w:hAnsi="Cambria" w:cs="Cambria"/>
          <w:sz w:val="22"/>
          <w:szCs w:val="22"/>
        </w:rPr>
        <w:t>净利润数为基准</w:t>
      </w:r>
      <w:r>
        <w:rPr>
          <w:rFonts w:ascii="Times"/>
          <w:sz w:val="22"/>
          <w:szCs w:val="22"/>
          <w:lang w:val="en-US"/>
        </w:rPr>
        <w:t>,</w:t>
      </w:r>
      <w:r>
        <w:rPr>
          <w:rFonts w:ascii="Cambria" w:eastAsia="Cambria" w:hAnsi="Cambria" w:cs="Cambria"/>
          <w:sz w:val="22"/>
          <w:szCs w:val="22"/>
        </w:rPr>
        <w:t>年均增长率不低于</w:t>
      </w:r>
      <w:r>
        <w:rPr>
          <w:rFonts w:ascii="Times"/>
          <w:sz w:val="22"/>
          <w:szCs w:val="22"/>
          <w:lang w:val="en-US"/>
        </w:rPr>
        <w:t xml:space="preserve"> </w:t>
      </w:r>
      <w:r>
        <w:rPr>
          <w:rFonts w:ascii="Times New Roman"/>
          <w:sz w:val="22"/>
          <w:szCs w:val="22"/>
          <w:lang w:val="en-US"/>
        </w:rPr>
        <w:t>20%</w:t>
      </w:r>
      <w:r>
        <w:rPr>
          <w:rFonts w:ascii="Times"/>
          <w:sz w:val="22"/>
          <w:szCs w:val="22"/>
          <w:lang w:val="en-US"/>
        </w:rPr>
        <w:t>,</w:t>
      </w:r>
      <w:r>
        <w:rPr>
          <w:rFonts w:ascii="Cambria" w:eastAsia="Cambria" w:hAnsi="Cambria" w:cs="Cambria"/>
          <w:sz w:val="22"/>
          <w:szCs w:val="22"/>
        </w:rPr>
        <w:t>即每年实现的归属母公司净利润</w:t>
      </w:r>
      <w:r>
        <w:rPr>
          <w:rFonts w:ascii="Times"/>
          <w:sz w:val="22"/>
          <w:szCs w:val="22"/>
          <w:lang w:val="en-US"/>
        </w:rPr>
        <w:t xml:space="preserve"> (</w:t>
      </w:r>
      <w:r>
        <w:rPr>
          <w:rFonts w:ascii="Cambria" w:eastAsia="Cambria" w:hAnsi="Cambria" w:cs="Cambria"/>
          <w:sz w:val="22"/>
          <w:szCs w:val="22"/>
        </w:rPr>
        <w:t>根据标的公司扣除非经常性损益前后孰低原则确定</w:t>
      </w:r>
      <w:r>
        <w:rPr>
          <w:rFonts w:ascii="Times"/>
          <w:sz w:val="22"/>
          <w:szCs w:val="22"/>
          <w:lang w:val="en-US"/>
        </w:rPr>
        <w:t>)</w:t>
      </w:r>
      <w:r>
        <w:rPr>
          <w:rFonts w:ascii="Cambria" w:eastAsia="Cambria" w:hAnsi="Cambria" w:cs="Cambria"/>
          <w:sz w:val="22"/>
          <w:szCs w:val="22"/>
        </w:rPr>
        <w:t>分别为</w:t>
      </w:r>
      <w:r>
        <w:rPr>
          <w:rFonts w:ascii="Times"/>
          <w:sz w:val="22"/>
          <w:szCs w:val="22"/>
          <w:lang w:val="en-US"/>
        </w:rPr>
        <w:t xml:space="preserve"> </w:t>
      </w:r>
      <w:r>
        <w:rPr>
          <w:rFonts w:ascii="Times New Roman"/>
          <w:sz w:val="22"/>
          <w:szCs w:val="22"/>
          <w:lang w:val="en-US"/>
        </w:rPr>
        <w:t xml:space="preserve">2,400 </w:t>
      </w:r>
      <w:r>
        <w:rPr>
          <w:rFonts w:ascii="Cambria" w:eastAsia="Cambria" w:hAnsi="Cambria" w:cs="Cambria"/>
          <w:sz w:val="22"/>
          <w:szCs w:val="22"/>
        </w:rPr>
        <w:t>万元、</w:t>
      </w:r>
      <w:r>
        <w:rPr>
          <w:rFonts w:ascii="Times"/>
          <w:sz w:val="22"/>
          <w:szCs w:val="22"/>
          <w:lang w:val="en-US"/>
        </w:rPr>
        <w:t xml:space="preserve"> </w:t>
      </w:r>
      <w:r>
        <w:rPr>
          <w:rFonts w:ascii="Times New Roman"/>
          <w:sz w:val="22"/>
          <w:szCs w:val="22"/>
          <w:lang w:val="en-US"/>
        </w:rPr>
        <w:t xml:space="preserve">2,880 </w:t>
      </w:r>
      <w:r>
        <w:rPr>
          <w:rFonts w:ascii="Cambria" w:eastAsia="Cambria" w:hAnsi="Cambria" w:cs="Cambria"/>
          <w:sz w:val="22"/>
          <w:szCs w:val="22"/>
        </w:rPr>
        <w:t>万元、</w:t>
      </w:r>
      <w:r>
        <w:rPr>
          <w:rFonts w:ascii="Times New Roman"/>
          <w:sz w:val="22"/>
          <w:szCs w:val="22"/>
          <w:lang w:val="en-US"/>
        </w:rPr>
        <w:t xml:space="preserve">3,456 </w:t>
      </w:r>
      <w:r>
        <w:rPr>
          <w:rFonts w:ascii="Cambria" w:eastAsia="Cambria" w:hAnsi="Cambria" w:cs="Cambria"/>
          <w:sz w:val="22"/>
          <w:szCs w:val="22"/>
        </w:rPr>
        <w:t>万元。</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在各利润补偿年度结束之日起</w:t>
      </w:r>
      <w:r>
        <w:rPr>
          <w:rFonts w:ascii="Times"/>
          <w:sz w:val="22"/>
          <w:szCs w:val="22"/>
          <w:lang w:val="en-US"/>
        </w:rPr>
        <w:t xml:space="preserve"> </w:t>
      </w:r>
      <w:r>
        <w:rPr>
          <w:rFonts w:ascii="Times New Roman"/>
          <w:sz w:val="22"/>
          <w:szCs w:val="22"/>
          <w:lang w:val="en-US"/>
        </w:rPr>
        <w:t xml:space="preserve">4 </w:t>
      </w:r>
      <w:r>
        <w:rPr>
          <w:rFonts w:ascii="Cambria" w:eastAsia="Cambria" w:hAnsi="Cambria" w:cs="Cambria"/>
          <w:sz w:val="22"/>
          <w:szCs w:val="22"/>
        </w:rPr>
        <w:t>个月之内</w:t>
      </w:r>
      <w:r>
        <w:rPr>
          <w:rFonts w:ascii="Times"/>
          <w:sz w:val="22"/>
          <w:szCs w:val="22"/>
          <w:lang w:val="en-US"/>
        </w:rPr>
        <w:t>,</w:t>
      </w:r>
      <w:r>
        <w:rPr>
          <w:rFonts w:ascii="Cambria" w:eastAsia="Cambria" w:hAnsi="Cambria" w:cs="Cambria"/>
          <w:sz w:val="22"/>
          <w:szCs w:val="22"/>
        </w:rPr>
        <w:t>华媒控股应聘请具有证券期</w:t>
      </w:r>
      <w:r>
        <w:rPr>
          <w:rFonts w:ascii="Times"/>
          <w:sz w:val="22"/>
          <w:szCs w:val="22"/>
          <w:lang w:val="en-US"/>
        </w:rPr>
        <w:t xml:space="preserve"> </w:t>
      </w:r>
      <w:r>
        <w:rPr>
          <w:rFonts w:ascii="Cambria" w:eastAsia="Cambria" w:hAnsi="Cambria" w:cs="Cambria"/>
          <w:sz w:val="22"/>
          <w:szCs w:val="22"/>
        </w:rPr>
        <w:t>货从业资格的审计机构</w:t>
      </w:r>
      <w:r>
        <w:rPr>
          <w:rFonts w:ascii="Times"/>
          <w:sz w:val="22"/>
          <w:szCs w:val="22"/>
          <w:lang w:val="en-US"/>
        </w:rPr>
        <w:t>,</w:t>
      </w:r>
      <w:r>
        <w:rPr>
          <w:rFonts w:ascii="Cambria" w:eastAsia="Cambria" w:hAnsi="Cambria" w:cs="Cambria"/>
          <w:sz w:val="22"/>
          <w:szCs w:val="22"/>
        </w:rPr>
        <w:t>对精典博维每年度实现的实际净利润等经营成果予</w:t>
      </w:r>
      <w:r>
        <w:rPr>
          <w:rFonts w:ascii="Times"/>
          <w:sz w:val="22"/>
          <w:szCs w:val="22"/>
          <w:lang w:val="en-US"/>
        </w:rPr>
        <w:t xml:space="preserve"> </w:t>
      </w:r>
      <w:r>
        <w:rPr>
          <w:rFonts w:ascii="Cambria" w:eastAsia="Cambria" w:hAnsi="Cambria" w:cs="Cambria"/>
          <w:sz w:val="22"/>
          <w:szCs w:val="22"/>
        </w:rPr>
        <w:t>以审核</w:t>
      </w:r>
      <w:r>
        <w:rPr>
          <w:rFonts w:ascii="Times"/>
          <w:sz w:val="22"/>
          <w:szCs w:val="22"/>
          <w:lang w:val="en-US"/>
        </w:rPr>
        <w:t>,</w:t>
      </w:r>
      <w:r>
        <w:rPr>
          <w:rFonts w:ascii="Cambria" w:eastAsia="Cambria" w:hAnsi="Cambria" w:cs="Cambria"/>
          <w:sz w:val="22"/>
          <w:szCs w:val="22"/>
        </w:rPr>
        <w:t>出具专项审核报告。如果精典博维实际净利润低于上述承诺利润</w:t>
      </w:r>
      <w:r>
        <w:rPr>
          <w:rFonts w:ascii="Times"/>
          <w:sz w:val="22"/>
          <w:szCs w:val="22"/>
          <w:lang w:val="en-US"/>
        </w:rPr>
        <w:t xml:space="preserve">, </w:t>
      </w:r>
      <w:r>
        <w:rPr>
          <w:rFonts w:ascii="Cambria" w:eastAsia="Cambria" w:hAnsi="Cambria" w:cs="Cambria"/>
          <w:sz w:val="22"/>
          <w:szCs w:val="22"/>
        </w:rPr>
        <w:t>则交易对方应在该年度的专项审核报告披露之日起</w:t>
      </w:r>
      <w:r>
        <w:rPr>
          <w:rFonts w:ascii="Times"/>
          <w:sz w:val="22"/>
          <w:szCs w:val="22"/>
          <w:lang w:val="en-US"/>
        </w:rPr>
        <w:t xml:space="preserve"> </w:t>
      </w:r>
      <w:r>
        <w:rPr>
          <w:rFonts w:ascii="Times New Roman"/>
          <w:sz w:val="22"/>
          <w:szCs w:val="22"/>
          <w:lang w:val="en-US"/>
        </w:rPr>
        <w:t xml:space="preserve">10 </w:t>
      </w:r>
      <w:r>
        <w:rPr>
          <w:rFonts w:ascii="Cambria" w:eastAsia="Cambria" w:hAnsi="Cambria" w:cs="Cambria"/>
          <w:sz w:val="22"/>
          <w:szCs w:val="22"/>
        </w:rPr>
        <w:t>日之内</w:t>
      </w:r>
      <w:r>
        <w:rPr>
          <w:rFonts w:ascii="Times"/>
          <w:sz w:val="22"/>
          <w:szCs w:val="22"/>
          <w:lang w:val="en-US"/>
        </w:rPr>
        <w:t>,</w:t>
      </w:r>
      <w:r>
        <w:rPr>
          <w:rFonts w:ascii="Cambria" w:eastAsia="Cambria" w:hAnsi="Cambria" w:cs="Cambria"/>
          <w:sz w:val="22"/>
          <w:szCs w:val="22"/>
        </w:rPr>
        <w:t>按交易双方</w:t>
      </w:r>
      <w:r>
        <w:rPr>
          <w:rFonts w:ascii="Times"/>
          <w:sz w:val="22"/>
          <w:szCs w:val="22"/>
          <w:lang w:val="en-US"/>
        </w:rPr>
        <w:t xml:space="preserve"> </w:t>
      </w:r>
      <w:r>
        <w:rPr>
          <w:rFonts w:ascii="Cambria" w:eastAsia="Cambria" w:hAnsi="Cambria" w:cs="Cambria"/>
          <w:sz w:val="22"/>
          <w:szCs w:val="22"/>
        </w:rPr>
        <w:t>签署的《股权转让协议》中相关规定所列明公式计算的金额对华媒控股进行</w:t>
      </w:r>
      <w:r>
        <w:rPr>
          <w:rFonts w:ascii="Times"/>
          <w:sz w:val="22"/>
          <w:szCs w:val="22"/>
          <w:lang w:val="en-US"/>
        </w:rPr>
        <w:t xml:space="preserve"> </w:t>
      </w:r>
      <w:r>
        <w:rPr>
          <w:rFonts w:ascii="Cambria" w:eastAsia="Cambria" w:hAnsi="Cambria" w:cs="Cambria"/>
          <w:sz w:val="22"/>
          <w:szCs w:val="22"/>
        </w:rPr>
        <w:t>现金补偿</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当期应补偿的现金</w:t>
      </w:r>
      <w:r>
        <w:rPr>
          <w:rFonts w:ascii="Times New Roman"/>
          <w:sz w:val="22"/>
          <w:szCs w:val="22"/>
          <w:lang w:val="en-US"/>
        </w:rPr>
        <w:t>=</w:t>
      </w:r>
      <w:r>
        <w:rPr>
          <w:rFonts w:ascii="Times"/>
          <w:sz w:val="22"/>
          <w:szCs w:val="22"/>
          <w:lang w:val="en-US"/>
        </w:rPr>
        <w:t>(</w:t>
      </w:r>
      <w:r>
        <w:rPr>
          <w:rFonts w:ascii="Cambria" w:eastAsia="Cambria" w:hAnsi="Cambria" w:cs="Cambria"/>
          <w:sz w:val="22"/>
          <w:szCs w:val="22"/>
        </w:rPr>
        <w:t>截至当期期末累积承诺净利润数</w:t>
      </w:r>
      <w:r>
        <w:rPr>
          <w:rFonts w:ascii="Times"/>
          <w:sz w:val="22"/>
          <w:szCs w:val="22"/>
          <w:lang w:val="en-US"/>
        </w:rPr>
        <w:t>-</w:t>
      </w:r>
      <w:r>
        <w:rPr>
          <w:rFonts w:ascii="Cambria" w:eastAsia="Cambria" w:hAnsi="Cambria" w:cs="Cambria"/>
          <w:sz w:val="22"/>
          <w:szCs w:val="22"/>
        </w:rPr>
        <w:t>截至当期期末</w:t>
      </w:r>
      <w:r>
        <w:rPr>
          <w:rFonts w:ascii="Times"/>
          <w:sz w:val="22"/>
          <w:szCs w:val="22"/>
          <w:lang w:val="en-US"/>
        </w:rPr>
        <w:t xml:space="preserve"> </w:t>
      </w:r>
      <w:r>
        <w:rPr>
          <w:rFonts w:ascii="Cambria" w:eastAsia="Cambria" w:hAnsi="Cambria" w:cs="Cambria"/>
          <w:sz w:val="22"/>
          <w:szCs w:val="22"/>
        </w:rPr>
        <w:t>累积实际净利润数</w:t>
      </w:r>
      <w:r>
        <w:rPr>
          <w:rFonts w:ascii="Times"/>
          <w:sz w:val="22"/>
          <w:szCs w:val="22"/>
          <w:lang w:val="en-US"/>
        </w:rPr>
        <w:t>)</w:t>
      </w:r>
      <w:r>
        <w:rPr>
          <w:rFonts w:hAnsi="Times" w:hint="default"/>
          <w:sz w:val="22"/>
          <w:szCs w:val="22"/>
          <w:lang w:val="en-US"/>
        </w:rPr>
        <w:t>÷</w:t>
      </w:r>
      <w:r>
        <w:rPr>
          <w:rFonts w:ascii="Cambria" w:eastAsia="Cambria" w:hAnsi="Cambria" w:cs="Cambria"/>
          <w:sz w:val="22"/>
          <w:szCs w:val="22"/>
        </w:rPr>
        <w:t>补偿期限内各年的承诺净利润数总和</w:t>
      </w:r>
      <w:r>
        <w:rPr>
          <w:rFonts w:hAnsi="Times" w:hint="default"/>
          <w:sz w:val="22"/>
          <w:szCs w:val="22"/>
          <w:lang w:val="en-US"/>
        </w:rPr>
        <w:t>×</w:t>
      </w:r>
      <w:r>
        <w:rPr>
          <w:rFonts w:ascii="Cambria" w:eastAsia="Cambria" w:hAnsi="Cambria" w:cs="Cambria"/>
          <w:sz w:val="22"/>
          <w:szCs w:val="22"/>
        </w:rPr>
        <w:t>转让标的转让</w:t>
      </w:r>
      <w:r>
        <w:rPr>
          <w:rFonts w:ascii="Times"/>
          <w:sz w:val="22"/>
          <w:szCs w:val="22"/>
          <w:lang w:val="en-US"/>
        </w:rPr>
        <w:t xml:space="preserve"> </w:t>
      </w:r>
      <w:r>
        <w:rPr>
          <w:rFonts w:ascii="Cambria" w:eastAsia="Cambria" w:hAnsi="Cambria" w:cs="Cambria"/>
          <w:sz w:val="22"/>
          <w:szCs w:val="22"/>
        </w:rPr>
        <w:t>价款</w:t>
      </w:r>
      <w:r>
        <w:rPr>
          <w:rFonts w:ascii="Times"/>
          <w:sz w:val="22"/>
          <w:szCs w:val="22"/>
          <w:lang w:val="en-US"/>
        </w:rPr>
        <w:t>-</w:t>
      </w:r>
      <w:r>
        <w:rPr>
          <w:rFonts w:ascii="Cambria" w:eastAsia="Cambria" w:hAnsi="Cambria" w:cs="Cambria"/>
          <w:sz w:val="22"/>
          <w:szCs w:val="22"/>
        </w:rPr>
        <w:t>已补偿的现金。</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华媒控股在利润补偿期间届满后将聘请具有证券期货业务资格的会计</w:t>
      </w:r>
      <w:r>
        <w:rPr>
          <w:rFonts w:ascii="Times"/>
          <w:sz w:val="22"/>
          <w:szCs w:val="22"/>
          <w:lang w:val="en-US"/>
        </w:rPr>
        <w:t xml:space="preserve"> </w:t>
      </w:r>
      <w:r>
        <w:rPr>
          <w:rFonts w:ascii="Cambria" w:eastAsia="Cambria" w:hAnsi="Cambria" w:cs="Cambria"/>
          <w:sz w:val="22"/>
          <w:szCs w:val="22"/>
        </w:rPr>
        <w:t>师事务所对精典博维进行减值测试</w:t>
      </w:r>
      <w:r>
        <w:rPr>
          <w:rFonts w:ascii="Times"/>
          <w:sz w:val="22"/>
          <w:szCs w:val="22"/>
          <w:lang w:val="en-US"/>
        </w:rPr>
        <w:t>,</w:t>
      </w:r>
      <w:r>
        <w:rPr>
          <w:rFonts w:ascii="Cambria" w:eastAsia="Cambria" w:hAnsi="Cambria" w:cs="Cambria"/>
          <w:sz w:val="22"/>
          <w:szCs w:val="22"/>
        </w:rPr>
        <w:t>并出具专项审核意见。根据上述审核意</w:t>
      </w:r>
      <w:r>
        <w:rPr>
          <w:rFonts w:ascii="Times"/>
          <w:sz w:val="22"/>
          <w:szCs w:val="22"/>
          <w:lang w:val="en-US"/>
        </w:rPr>
        <w:t xml:space="preserve"> </w:t>
      </w:r>
      <w:r>
        <w:rPr>
          <w:rFonts w:ascii="Cambria" w:eastAsia="Cambria" w:hAnsi="Cambria" w:cs="Cambria"/>
          <w:sz w:val="22"/>
          <w:szCs w:val="22"/>
        </w:rPr>
        <w:t>见</w:t>
      </w:r>
      <w:r>
        <w:rPr>
          <w:rFonts w:ascii="Times"/>
          <w:sz w:val="22"/>
          <w:szCs w:val="22"/>
          <w:lang w:val="en-US"/>
        </w:rPr>
        <w:t>,</w:t>
      </w:r>
      <w:r>
        <w:rPr>
          <w:rFonts w:ascii="Cambria" w:eastAsia="Cambria" w:hAnsi="Cambria" w:cs="Cambria"/>
          <w:sz w:val="22"/>
          <w:szCs w:val="22"/>
        </w:rPr>
        <w:t>如转让标的期末减值额</w:t>
      </w:r>
      <w:r>
        <w:rPr>
          <w:rFonts w:hAnsi="Times" w:hint="default"/>
          <w:sz w:val="22"/>
          <w:szCs w:val="22"/>
          <w:lang w:val="en-US"/>
        </w:rPr>
        <w:t>÷</w:t>
      </w:r>
      <w:r>
        <w:rPr>
          <w:rFonts w:ascii="Cambria" w:eastAsia="Cambria" w:hAnsi="Cambria" w:cs="Cambria"/>
          <w:sz w:val="22"/>
          <w:szCs w:val="22"/>
        </w:rPr>
        <w:t>转让标的评估值</w:t>
      </w:r>
      <w:r>
        <w:rPr>
          <w:rFonts w:ascii="Times New Roman"/>
          <w:sz w:val="22"/>
          <w:szCs w:val="22"/>
          <w:lang w:val="en-US"/>
        </w:rPr>
        <w:t>&gt;</w:t>
      </w:r>
      <w:r>
        <w:rPr>
          <w:rFonts w:ascii="Cambria" w:eastAsia="Cambria" w:hAnsi="Cambria" w:cs="Cambria"/>
          <w:sz w:val="22"/>
          <w:szCs w:val="22"/>
        </w:rPr>
        <w:t>利润补偿期间交易对方已补</w:t>
      </w:r>
      <w:r>
        <w:rPr>
          <w:rFonts w:ascii="Times"/>
          <w:sz w:val="22"/>
          <w:szCs w:val="22"/>
          <w:lang w:val="en-US"/>
        </w:rPr>
        <w:t xml:space="preserve"> </w:t>
      </w:r>
      <w:r>
        <w:rPr>
          <w:rFonts w:ascii="Cambria" w:eastAsia="Cambria" w:hAnsi="Cambria" w:cs="Cambria"/>
          <w:sz w:val="22"/>
          <w:szCs w:val="22"/>
        </w:rPr>
        <w:t>偿现金总数</w:t>
      </w:r>
      <w:r>
        <w:rPr>
          <w:rFonts w:hAnsi="Times" w:hint="default"/>
          <w:sz w:val="22"/>
          <w:szCs w:val="22"/>
          <w:lang w:val="en-US"/>
        </w:rPr>
        <w:t>÷</w:t>
      </w:r>
      <w:r>
        <w:rPr>
          <w:rFonts w:ascii="Cambria" w:eastAsia="Cambria" w:hAnsi="Cambria" w:cs="Cambria"/>
          <w:sz w:val="22"/>
          <w:szCs w:val="22"/>
        </w:rPr>
        <w:t>转让标的转让价款</w:t>
      </w:r>
      <w:r>
        <w:rPr>
          <w:rFonts w:ascii="Times"/>
          <w:sz w:val="22"/>
          <w:szCs w:val="22"/>
          <w:lang w:val="en-US"/>
        </w:rPr>
        <w:t>,</w:t>
      </w:r>
      <w:r>
        <w:rPr>
          <w:rFonts w:ascii="Cambria" w:eastAsia="Cambria" w:hAnsi="Cambria" w:cs="Cambria"/>
          <w:sz w:val="22"/>
          <w:szCs w:val="22"/>
        </w:rPr>
        <w:t>则交易对</w:t>
      </w:r>
      <w:r>
        <w:rPr>
          <w:rFonts w:ascii="Cambria" w:eastAsia="Cambria" w:hAnsi="Cambria" w:cs="Cambria"/>
          <w:sz w:val="22"/>
          <w:szCs w:val="22"/>
        </w:rPr>
        <w:lastRenderedPageBreak/>
        <w:t>方将在前述专项审核意见出具之</w:t>
      </w:r>
      <w:r>
        <w:rPr>
          <w:rFonts w:ascii="Times"/>
          <w:sz w:val="22"/>
          <w:szCs w:val="22"/>
          <w:lang w:val="en-US"/>
        </w:rPr>
        <w:t xml:space="preserve"> </w:t>
      </w:r>
      <w:r>
        <w:rPr>
          <w:rFonts w:ascii="Cambria" w:eastAsia="Cambria" w:hAnsi="Cambria" w:cs="Cambria"/>
          <w:sz w:val="22"/>
          <w:szCs w:val="22"/>
        </w:rPr>
        <w:t>日起二十日内向华媒控股另行补偿现金。另需补偿的现金数量为</w:t>
      </w:r>
      <w:r>
        <w:rPr>
          <w:rFonts w:ascii="Times"/>
          <w:sz w:val="22"/>
          <w:szCs w:val="22"/>
          <w:lang w:val="en-US"/>
        </w:rPr>
        <w:t>:</w:t>
      </w:r>
      <w:r>
        <w:rPr>
          <w:rFonts w:ascii="Cambria" w:eastAsia="Cambria" w:hAnsi="Cambria" w:cs="Cambria"/>
          <w:sz w:val="22"/>
          <w:szCs w:val="22"/>
        </w:rPr>
        <w:t>转让标的</w:t>
      </w:r>
      <w:r>
        <w:rPr>
          <w:rFonts w:ascii="Times"/>
          <w:sz w:val="22"/>
          <w:szCs w:val="22"/>
          <w:lang w:val="en-US"/>
        </w:rPr>
        <w:t xml:space="preserve"> </w:t>
      </w:r>
      <w:r>
        <w:rPr>
          <w:rFonts w:ascii="Cambria" w:eastAsia="Cambria" w:hAnsi="Cambria" w:cs="Cambria"/>
          <w:sz w:val="22"/>
          <w:szCs w:val="22"/>
        </w:rPr>
        <w:t>期末减值额</w:t>
      </w:r>
      <w:r>
        <w:rPr>
          <w:rFonts w:ascii="Times"/>
          <w:sz w:val="22"/>
          <w:szCs w:val="22"/>
          <w:lang w:val="en-US"/>
        </w:rPr>
        <w:t>-</w:t>
      </w:r>
      <w:r>
        <w:rPr>
          <w:rFonts w:ascii="Cambria" w:eastAsia="Cambria" w:hAnsi="Cambria" w:cs="Cambria"/>
          <w:sz w:val="22"/>
          <w:szCs w:val="22"/>
        </w:rPr>
        <w:t>已补偿的现金。</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3</w:t>
      </w:r>
      <w:r>
        <w:rPr>
          <w:rFonts w:ascii="Cambria" w:eastAsia="Cambria" w:hAnsi="Cambria" w:cs="Cambria"/>
          <w:sz w:val="22"/>
          <w:szCs w:val="22"/>
        </w:rPr>
        <w:t>、股权转让价款及支付（略）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4</w:t>
      </w:r>
      <w:r>
        <w:rPr>
          <w:rFonts w:ascii="Cambria" w:eastAsia="Cambria" w:hAnsi="Cambria" w:cs="Cambria"/>
          <w:sz w:val="22"/>
          <w:szCs w:val="22"/>
        </w:rPr>
        <w:t>、定价依据</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根据中企华评报字</w:t>
      </w:r>
      <w:r>
        <w:rPr>
          <w:rFonts w:ascii="Times"/>
          <w:sz w:val="22"/>
          <w:szCs w:val="22"/>
          <w:lang w:val="en-US"/>
        </w:rPr>
        <w:t>(</w:t>
      </w:r>
      <w:r>
        <w:rPr>
          <w:rFonts w:ascii="Times New Roman"/>
          <w:sz w:val="22"/>
          <w:szCs w:val="22"/>
          <w:lang w:val="en-US"/>
        </w:rPr>
        <w:t>2015</w:t>
      </w:r>
      <w:r>
        <w:rPr>
          <w:rFonts w:ascii="Times"/>
          <w:sz w:val="22"/>
          <w:szCs w:val="22"/>
          <w:lang w:val="en-US"/>
        </w:rPr>
        <w:t>)</w:t>
      </w:r>
      <w:r>
        <w:rPr>
          <w:rFonts w:ascii="Cambria" w:eastAsia="Cambria" w:hAnsi="Cambria" w:cs="Cambria"/>
          <w:sz w:val="22"/>
          <w:szCs w:val="22"/>
        </w:rPr>
        <w:t>第</w:t>
      </w:r>
      <w:r>
        <w:rPr>
          <w:rFonts w:ascii="Times New Roman"/>
          <w:sz w:val="22"/>
          <w:szCs w:val="22"/>
          <w:lang w:val="en-US"/>
        </w:rPr>
        <w:t>[3457]</w:t>
      </w:r>
      <w:r>
        <w:rPr>
          <w:rFonts w:ascii="Cambria" w:eastAsia="Cambria" w:hAnsi="Cambria" w:cs="Cambria"/>
          <w:sz w:val="22"/>
          <w:szCs w:val="22"/>
        </w:rPr>
        <w:t>号《浙江华媒控股股份有限公司拟收购</w:t>
      </w:r>
      <w:r>
        <w:rPr>
          <w:rFonts w:ascii="Times"/>
          <w:sz w:val="22"/>
          <w:szCs w:val="22"/>
          <w:lang w:val="en-US"/>
        </w:rPr>
        <w:t xml:space="preserve"> </w:t>
      </w:r>
      <w:r>
        <w:rPr>
          <w:rFonts w:ascii="Cambria" w:eastAsia="Cambria" w:hAnsi="Cambria" w:cs="Cambria"/>
          <w:sz w:val="22"/>
          <w:szCs w:val="22"/>
        </w:rPr>
        <w:t>股权涉及的北京精典博维文化传媒有限公司股东全部权益项目评估报告》</w:t>
      </w:r>
      <w:r>
        <w:rPr>
          <w:rFonts w:ascii="Times"/>
          <w:sz w:val="22"/>
          <w:szCs w:val="22"/>
          <w:lang w:val="en-US"/>
        </w:rPr>
        <w:t>,</w:t>
      </w:r>
      <w:r>
        <w:rPr>
          <w:rFonts w:ascii="Cambria" w:eastAsia="Cambria" w:hAnsi="Cambria" w:cs="Cambria"/>
          <w:sz w:val="22"/>
          <w:szCs w:val="22"/>
        </w:rPr>
        <w:t>截至</w:t>
      </w:r>
      <w:r>
        <w:rPr>
          <w:rFonts w:ascii="Times"/>
          <w:sz w:val="22"/>
          <w:szCs w:val="22"/>
          <w:lang w:val="en-US"/>
        </w:rPr>
        <w:t xml:space="preserve"> </w:t>
      </w:r>
      <w:r>
        <w:rPr>
          <w:rFonts w:ascii="Cambria" w:eastAsia="Cambria" w:hAnsi="Cambria" w:cs="Cambria"/>
          <w:sz w:val="22"/>
          <w:szCs w:val="22"/>
        </w:rPr>
        <w:t>评估基准日</w:t>
      </w:r>
      <w:r>
        <w:rPr>
          <w:rFonts w:ascii="Times New Roman"/>
          <w:sz w:val="22"/>
          <w:szCs w:val="22"/>
          <w:lang w:val="en-US"/>
        </w:rPr>
        <w:t>2014</w:t>
      </w:r>
      <w:r>
        <w:rPr>
          <w:rFonts w:ascii="Cambria" w:eastAsia="Cambria" w:hAnsi="Cambria" w:cs="Cambria"/>
          <w:sz w:val="22"/>
          <w:szCs w:val="22"/>
        </w:rPr>
        <w:t>年</w:t>
      </w:r>
      <w:r>
        <w:rPr>
          <w:rFonts w:ascii="Times New Roman"/>
          <w:sz w:val="22"/>
          <w:szCs w:val="22"/>
          <w:lang w:val="en-US"/>
        </w:rPr>
        <w:t>12</w:t>
      </w:r>
      <w:r>
        <w:rPr>
          <w:rFonts w:ascii="Cambria" w:eastAsia="Cambria" w:hAnsi="Cambria" w:cs="Cambria"/>
          <w:sz w:val="22"/>
          <w:szCs w:val="22"/>
        </w:rPr>
        <w:t>月</w:t>
      </w:r>
      <w:r>
        <w:rPr>
          <w:rFonts w:ascii="Times New Roman"/>
          <w:sz w:val="22"/>
          <w:szCs w:val="22"/>
          <w:lang w:val="en-US"/>
        </w:rPr>
        <w:t>31</w:t>
      </w:r>
      <w:r>
        <w:rPr>
          <w:rFonts w:ascii="Cambria" w:eastAsia="Cambria" w:hAnsi="Cambria" w:cs="Cambria"/>
          <w:sz w:val="22"/>
          <w:szCs w:val="22"/>
        </w:rPr>
        <w:t>日</w:t>
      </w:r>
      <w:r>
        <w:rPr>
          <w:rFonts w:ascii="Times"/>
          <w:sz w:val="22"/>
          <w:szCs w:val="22"/>
          <w:lang w:val="en-US"/>
        </w:rPr>
        <w:t>,</w:t>
      </w:r>
      <w:r>
        <w:rPr>
          <w:rFonts w:ascii="Cambria" w:eastAsia="Cambria" w:hAnsi="Cambria" w:cs="Cambria"/>
          <w:sz w:val="22"/>
          <w:szCs w:val="22"/>
        </w:rPr>
        <w:t>标的公司全部股东权益评估值</w:t>
      </w:r>
      <w:r>
        <w:rPr>
          <w:rFonts w:ascii="Times New Roman"/>
          <w:sz w:val="22"/>
          <w:szCs w:val="22"/>
          <w:lang w:val="en-US"/>
        </w:rPr>
        <w:t>30,722.91</w:t>
      </w:r>
      <w:r>
        <w:rPr>
          <w:rFonts w:ascii="Cambria" w:eastAsia="Cambria" w:hAnsi="Cambria" w:cs="Cambria"/>
          <w:sz w:val="22"/>
          <w:szCs w:val="22"/>
        </w:rPr>
        <w:t>万元。经交易双方协商</w:t>
      </w:r>
      <w:r>
        <w:rPr>
          <w:rFonts w:ascii="Times"/>
          <w:sz w:val="22"/>
          <w:szCs w:val="22"/>
          <w:lang w:val="en-US"/>
        </w:rPr>
        <w:t>,</w:t>
      </w:r>
      <w:r>
        <w:rPr>
          <w:rFonts w:ascii="Cambria" w:eastAsia="Cambria" w:hAnsi="Cambria" w:cs="Cambria"/>
          <w:sz w:val="22"/>
          <w:szCs w:val="22"/>
        </w:rPr>
        <w:t>标的公司的</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股权价值最终作价为</w:t>
      </w:r>
      <w:r>
        <w:rPr>
          <w:rFonts w:ascii="Times"/>
          <w:sz w:val="22"/>
          <w:szCs w:val="22"/>
          <w:lang w:val="en-US"/>
        </w:rPr>
        <w:t xml:space="preserve"> </w:t>
      </w:r>
      <w:r>
        <w:rPr>
          <w:rFonts w:ascii="Times New Roman"/>
          <w:sz w:val="22"/>
          <w:szCs w:val="22"/>
          <w:lang w:val="en-US"/>
        </w:rPr>
        <w:t xml:space="preserve">10,752 </w:t>
      </w:r>
      <w:r>
        <w:rPr>
          <w:rFonts w:ascii="Cambria" w:eastAsia="Cambria" w:hAnsi="Cambria" w:cs="Cambria"/>
          <w:sz w:val="22"/>
          <w:szCs w:val="22"/>
        </w:rPr>
        <w:t>万元。相关资</w:t>
      </w:r>
      <w:r>
        <w:rPr>
          <w:rFonts w:ascii="Times"/>
          <w:sz w:val="22"/>
          <w:szCs w:val="22"/>
          <w:lang w:val="en-US"/>
        </w:rPr>
        <w:t xml:space="preserve"> </w:t>
      </w:r>
      <w:r>
        <w:rPr>
          <w:rFonts w:ascii="Cambria" w:eastAsia="Cambria" w:hAnsi="Cambria" w:cs="Cambria"/>
          <w:sz w:val="22"/>
          <w:szCs w:val="22"/>
        </w:rPr>
        <w:t>产的定价依据公允</w:t>
      </w:r>
      <w:r>
        <w:rPr>
          <w:rFonts w:ascii="Courier"/>
          <w:sz w:val="22"/>
          <w:szCs w:val="22"/>
          <w:lang w:val="en-US"/>
        </w:rPr>
        <w:t>,</w:t>
      </w:r>
      <w:r>
        <w:rPr>
          <w:rFonts w:ascii="Cambria" w:eastAsia="Cambria" w:hAnsi="Cambria" w:cs="Cambria"/>
          <w:sz w:val="22"/>
          <w:szCs w:val="22"/>
        </w:rPr>
        <w:t>不存在损害上市公司和股东合法权益的情形。</w:t>
      </w:r>
    </w:p>
    <w:p w:rsidR="003A5CE8" w:rsidRDefault="007038D7">
      <w:pPr>
        <w:pStyle w:val="B"/>
        <w:spacing w:after="240"/>
        <w:rPr>
          <w:rFonts w:ascii="Times" w:eastAsia="Times" w:hAnsi="Times" w:cs="Times" w:hint="default"/>
          <w:sz w:val="22"/>
          <w:szCs w:val="22"/>
        </w:rPr>
      </w:pPr>
      <w:r>
        <w:rPr>
          <w:rFonts w:ascii="Times"/>
          <w:sz w:val="22"/>
          <w:szCs w:val="22"/>
          <w:lang w:val="en-US"/>
        </w:rPr>
        <w:t>5</w:t>
      </w:r>
      <w:r>
        <w:rPr>
          <w:rFonts w:ascii="Cambria" w:eastAsia="Cambria" w:hAnsi="Cambria" w:cs="Cambria"/>
          <w:sz w:val="22"/>
          <w:szCs w:val="22"/>
        </w:rPr>
        <w:t>、股权转让的后继安排</w:t>
      </w:r>
    </w:p>
    <w:p w:rsidR="003A5CE8" w:rsidRDefault="007038D7">
      <w:pPr>
        <w:pStyle w:val="B"/>
        <w:spacing w:after="240"/>
        <w:rPr>
          <w:rFonts w:ascii="Times" w:eastAsia="Times" w:hAnsi="Times" w:cs="Times" w:hint="default"/>
          <w:sz w:val="22"/>
          <w:szCs w:val="22"/>
        </w:rPr>
      </w:pPr>
      <w:r>
        <w:rPr>
          <w:rFonts w:ascii="Times" w:eastAsia="Times" w:hAnsi="Times" w:cs="Times"/>
          <w:sz w:val="22"/>
          <w:szCs w:val="22"/>
          <w:lang w:val="en-US"/>
        </w:rPr>
        <w:br/>
      </w:r>
      <w:r>
        <w:rPr>
          <w:rFonts w:ascii="Times New Roman"/>
          <w:sz w:val="22"/>
          <w:szCs w:val="22"/>
          <w:lang w:val="en-US"/>
        </w:rPr>
        <w:t>1</w:t>
      </w:r>
      <w:r>
        <w:rPr>
          <w:rFonts w:ascii="Times"/>
          <w:sz w:val="22"/>
          <w:szCs w:val="22"/>
          <w:lang w:val="en-US"/>
        </w:rPr>
        <w:t>)</w:t>
      </w:r>
      <w:r>
        <w:rPr>
          <w:rFonts w:ascii="Cambria" w:eastAsia="Cambria" w:hAnsi="Cambria" w:cs="Cambria"/>
          <w:sz w:val="22"/>
          <w:szCs w:val="22"/>
        </w:rPr>
        <w:t>标的企业管理安排</w:t>
      </w:r>
      <w:r>
        <w:rPr>
          <w:rFonts w:ascii="Times" w:eastAsia="Times" w:hAnsi="Times" w:cs="Times"/>
          <w:sz w:val="22"/>
          <w:szCs w:val="22"/>
          <w:lang w:val="en-US"/>
        </w:rPr>
        <w:br/>
      </w:r>
      <w:r>
        <w:rPr>
          <w:rFonts w:ascii="Cambria" w:eastAsia="Cambria" w:hAnsi="Cambria" w:cs="Cambria"/>
          <w:sz w:val="22"/>
          <w:szCs w:val="22"/>
        </w:rPr>
        <w:t>标的企业应在本公司完成收购标的企业</w:t>
      </w:r>
      <w:r>
        <w:rPr>
          <w:rFonts w:ascii="Times"/>
          <w:sz w:val="22"/>
          <w:szCs w:val="22"/>
          <w:lang w:val="en-US"/>
        </w:rPr>
        <w:t xml:space="preserve"> </w:t>
      </w:r>
      <w:r>
        <w:rPr>
          <w:rFonts w:ascii="Times New Roman"/>
          <w:sz w:val="22"/>
          <w:szCs w:val="22"/>
          <w:lang w:val="en-US"/>
        </w:rPr>
        <w:t>35%</w:t>
      </w:r>
      <w:r>
        <w:rPr>
          <w:rFonts w:ascii="Cambria" w:eastAsia="Cambria" w:hAnsi="Cambria" w:cs="Cambria"/>
          <w:sz w:val="22"/>
          <w:szCs w:val="22"/>
        </w:rPr>
        <w:t>股权成为标的企业股东之日起一个月内完成董事会改选。自股权交割日起</w:t>
      </w:r>
      <w:r>
        <w:rPr>
          <w:rFonts w:ascii="Times"/>
          <w:sz w:val="22"/>
          <w:szCs w:val="22"/>
          <w:lang w:val="en-US"/>
        </w:rPr>
        <w:t>,</w:t>
      </w:r>
      <w:r>
        <w:rPr>
          <w:rFonts w:ascii="Cambria" w:eastAsia="Cambria" w:hAnsi="Cambria" w:cs="Cambria"/>
          <w:sz w:val="22"/>
          <w:szCs w:val="22"/>
        </w:rPr>
        <w:t>交易对方委派的标的企业董事、高级管理人员在标的</w:t>
      </w:r>
      <w:r>
        <w:rPr>
          <w:rFonts w:ascii="Times"/>
          <w:sz w:val="22"/>
          <w:szCs w:val="22"/>
          <w:lang w:val="en-US"/>
        </w:rPr>
        <w:t xml:space="preserve"> </w:t>
      </w:r>
      <w:r>
        <w:rPr>
          <w:rFonts w:ascii="Cambria" w:eastAsia="Cambria" w:hAnsi="Cambria" w:cs="Cambria"/>
          <w:sz w:val="22"/>
          <w:szCs w:val="22"/>
        </w:rPr>
        <w:t>企业的服务期限不少于</w:t>
      </w:r>
      <w:r>
        <w:rPr>
          <w:rFonts w:ascii="Times"/>
          <w:sz w:val="22"/>
          <w:szCs w:val="22"/>
          <w:lang w:val="en-US"/>
        </w:rPr>
        <w:t xml:space="preserve"> </w:t>
      </w:r>
      <w:r>
        <w:rPr>
          <w:rFonts w:ascii="Times New Roman"/>
          <w:sz w:val="22"/>
          <w:szCs w:val="22"/>
          <w:lang w:val="en-US"/>
        </w:rPr>
        <w:t xml:space="preserve">60 </w:t>
      </w:r>
      <w:r>
        <w:rPr>
          <w:rFonts w:ascii="Cambria" w:eastAsia="Cambria" w:hAnsi="Cambria" w:cs="Cambria"/>
          <w:sz w:val="22"/>
          <w:szCs w:val="22"/>
        </w:rPr>
        <w:t>个月。</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2</w:t>
      </w:r>
      <w:r>
        <w:rPr>
          <w:rFonts w:ascii="Times"/>
          <w:sz w:val="22"/>
          <w:szCs w:val="22"/>
          <w:lang w:val="en-US"/>
        </w:rPr>
        <w:t>)</w:t>
      </w:r>
      <w:r>
        <w:rPr>
          <w:rFonts w:ascii="Cambria" w:eastAsia="Cambria" w:hAnsi="Cambria" w:cs="Cambria"/>
          <w:sz w:val="22"/>
          <w:szCs w:val="22"/>
        </w:rPr>
        <w:t>双方商定</w:t>
      </w:r>
      <w:r>
        <w:rPr>
          <w:rFonts w:ascii="Times"/>
          <w:sz w:val="22"/>
          <w:szCs w:val="22"/>
          <w:lang w:val="en-US"/>
        </w:rPr>
        <w:t>,</w:t>
      </w:r>
      <w:r>
        <w:rPr>
          <w:rFonts w:ascii="Cambria" w:eastAsia="Cambria" w:hAnsi="Cambria" w:cs="Cambria"/>
          <w:sz w:val="22"/>
          <w:szCs w:val="22"/>
        </w:rPr>
        <w:t>为鼓励标的企业原股东、管理团队和骨干员工做好尽责、</w:t>
      </w:r>
      <w:r>
        <w:rPr>
          <w:rFonts w:ascii="Times"/>
          <w:sz w:val="22"/>
          <w:szCs w:val="22"/>
          <w:lang w:val="en-US"/>
        </w:rPr>
        <w:t xml:space="preserve"> </w:t>
      </w:r>
      <w:r>
        <w:rPr>
          <w:rFonts w:ascii="Cambria" w:eastAsia="Cambria" w:hAnsi="Cambria" w:cs="Cambria"/>
          <w:sz w:val="22"/>
          <w:szCs w:val="22"/>
        </w:rPr>
        <w:t>尽力提升标的企业业绩</w:t>
      </w:r>
      <w:r>
        <w:rPr>
          <w:rFonts w:ascii="Times"/>
          <w:sz w:val="22"/>
          <w:szCs w:val="22"/>
          <w:lang w:val="en-US"/>
        </w:rPr>
        <w:t>,</w:t>
      </w:r>
      <w:r>
        <w:rPr>
          <w:rFonts w:ascii="Cambria" w:eastAsia="Cambria" w:hAnsi="Cambria" w:cs="Cambria"/>
          <w:sz w:val="22"/>
          <w:szCs w:val="22"/>
        </w:rPr>
        <w:t>同意将完成的实际净利润</w:t>
      </w:r>
      <w:r>
        <w:rPr>
          <w:rFonts w:ascii="Times"/>
          <w:sz w:val="22"/>
          <w:szCs w:val="22"/>
          <w:lang w:val="en-US"/>
        </w:rPr>
        <w:t>(</w:t>
      </w:r>
      <w:r>
        <w:rPr>
          <w:rFonts w:ascii="Cambria" w:eastAsia="Cambria" w:hAnsi="Cambria" w:cs="Cambria"/>
          <w:sz w:val="22"/>
          <w:szCs w:val="22"/>
        </w:rPr>
        <w:t>根据标的企业扣除非经</w:t>
      </w:r>
      <w:r>
        <w:rPr>
          <w:rFonts w:ascii="Times"/>
          <w:sz w:val="22"/>
          <w:szCs w:val="22"/>
          <w:lang w:val="en-US"/>
        </w:rPr>
        <w:t xml:space="preserve"> </w:t>
      </w:r>
      <w:r>
        <w:rPr>
          <w:rFonts w:ascii="Cambria" w:eastAsia="Cambria" w:hAnsi="Cambria" w:cs="Cambria"/>
          <w:sz w:val="22"/>
          <w:szCs w:val="22"/>
        </w:rPr>
        <w:t>常性损益前后孰低原则确定</w:t>
      </w:r>
      <w:r>
        <w:rPr>
          <w:rFonts w:ascii="Times"/>
          <w:sz w:val="22"/>
          <w:szCs w:val="22"/>
          <w:lang w:val="en-US"/>
        </w:rPr>
        <w:t>)</w:t>
      </w:r>
      <w:r>
        <w:rPr>
          <w:rFonts w:ascii="Cambria" w:eastAsia="Cambria" w:hAnsi="Cambria" w:cs="Cambria"/>
          <w:sz w:val="22"/>
          <w:szCs w:val="22"/>
        </w:rPr>
        <w:t>超过承诺利润</w:t>
      </w:r>
      <w:r>
        <w:rPr>
          <w:rFonts w:ascii="Times"/>
          <w:sz w:val="22"/>
          <w:szCs w:val="22"/>
          <w:lang w:val="en-US"/>
        </w:rPr>
        <w:t>(</w:t>
      </w:r>
      <w:r>
        <w:rPr>
          <w:rFonts w:ascii="Cambria" w:eastAsia="Cambria" w:hAnsi="Cambria" w:cs="Cambria"/>
          <w:sz w:val="22"/>
          <w:szCs w:val="22"/>
        </w:rPr>
        <w:t>标的企业实现的</w:t>
      </w:r>
      <w:r>
        <w:rPr>
          <w:rFonts w:ascii="Times"/>
          <w:sz w:val="22"/>
          <w:szCs w:val="22"/>
          <w:lang w:val="en-US"/>
        </w:rPr>
        <w:t xml:space="preserve"> </w:t>
      </w:r>
      <w:r>
        <w:rPr>
          <w:rFonts w:ascii="Times New Roman"/>
          <w:sz w:val="22"/>
          <w:szCs w:val="22"/>
          <w:lang w:val="en-US"/>
        </w:rPr>
        <w:t xml:space="preserve">2015-2017 </w:t>
      </w:r>
      <w:r>
        <w:rPr>
          <w:rFonts w:ascii="Cambria" w:eastAsia="Cambria" w:hAnsi="Cambria" w:cs="Cambria"/>
          <w:sz w:val="22"/>
          <w:szCs w:val="22"/>
        </w:rPr>
        <w:t>年</w:t>
      </w:r>
      <w:r>
        <w:rPr>
          <w:rFonts w:ascii="Times"/>
          <w:sz w:val="22"/>
          <w:szCs w:val="22"/>
          <w:lang w:val="en-US"/>
        </w:rPr>
        <w:t xml:space="preserve"> </w:t>
      </w:r>
      <w:r>
        <w:rPr>
          <w:rFonts w:ascii="Cambria" w:eastAsia="Cambria" w:hAnsi="Cambria" w:cs="Cambria"/>
          <w:sz w:val="22"/>
          <w:szCs w:val="22"/>
        </w:rPr>
        <w:t>归属母公司净利润总额</w:t>
      </w:r>
      <w:r>
        <w:rPr>
          <w:rFonts w:ascii="Times"/>
          <w:sz w:val="22"/>
          <w:szCs w:val="22"/>
          <w:lang w:val="en-US"/>
        </w:rPr>
        <w:t xml:space="preserve"> </w:t>
      </w:r>
      <w:r>
        <w:rPr>
          <w:rFonts w:ascii="Times New Roman"/>
          <w:sz w:val="22"/>
          <w:szCs w:val="22"/>
          <w:lang w:val="en-US"/>
        </w:rPr>
        <w:t xml:space="preserve">9,828 </w:t>
      </w:r>
      <w:r>
        <w:rPr>
          <w:rFonts w:ascii="Cambria" w:eastAsia="Cambria" w:hAnsi="Cambria" w:cs="Cambria"/>
          <w:sz w:val="22"/>
          <w:szCs w:val="22"/>
        </w:rPr>
        <w:t>万元</w:t>
      </w:r>
      <w:r>
        <w:rPr>
          <w:rFonts w:ascii="Times"/>
          <w:sz w:val="22"/>
          <w:szCs w:val="22"/>
          <w:lang w:val="en-US"/>
        </w:rPr>
        <w:t>)</w:t>
      </w:r>
      <w:r>
        <w:rPr>
          <w:rFonts w:ascii="Cambria" w:eastAsia="Cambria" w:hAnsi="Cambria" w:cs="Cambria"/>
          <w:sz w:val="22"/>
          <w:szCs w:val="22"/>
        </w:rPr>
        <w:t>的</w:t>
      </w:r>
      <w:r>
        <w:rPr>
          <w:rFonts w:ascii="Times"/>
          <w:sz w:val="22"/>
          <w:szCs w:val="22"/>
          <w:lang w:val="en-US"/>
        </w:rPr>
        <w:t xml:space="preserve"> </w:t>
      </w:r>
      <w:r>
        <w:rPr>
          <w:rFonts w:ascii="Times New Roman"/>
          <w:sz w:val="22"/>
          <w:szCs w:val="22"/>
          <w:lang w:val="en-US"/>
        </w:rPr>
        <w:t>30%</w:t>
      </w:r>
      <w:r>
        <w:rPr>
          <w:rFonts w:ascii="Cambria" w:eastAsia="Cambria" w:hAnsi="Cambria" w:cs="Cambria"/>
          <w:sz w:val="22"/>
          <w:szCs w:val="22"/>
        </w:rPr>
        <w:t>部分奖励给标的企业管理团队和</w:t>
      </w:r>
      <w:r>
        <w:rPr>
          <w:rFonts w:ascii="Times"/>
          <w:sz w:val="22"/>
          <w:szCs w:val="22"/>
          <w:lang w:val="en-US"/>
        </w:rPr>
        <w:t xml:space="preserve"> </w:t>
      </w:r>
      <w:r>
        <w:rPr>
          <w:rFonts w:ascii="Cambria" w:eastAsia="Cambria" w:hAnsi="Cambria" w:cs="Cambria"/>
          <w:sz w:val="22"/>
          <w:szCs w:val="22"/>
        </w:rPr>
        <w:t>骨干员工。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3</w:t>
      </w:r>
      <w:r>
        <w:rPr>
          <w:rFonts w:ascii="Times"/>
          <w:sz w:val="22"/>
          <w:szCs w:val="22"/>
          <w:lang w:val="en-US"/>
        </w:rPr>
        <w:t>)</w:t>
      </w:r>
      <w:r>
        <w:rPr>
          <w:rFonts w:ascii="Cambria" w:eastAsia="Cambria" w:hAnsi="Cambria" w:cs="Cambria"/>
          <w:sz w:val="22"/>
          <w:szCs w:val="22"/>
        </w:rPr>
        <w:t>若本协议约定的关于后续收购的条件成就时</w:t>
      </w:r>
      <w:r>
        <w:rPr>
          <w:rFonts w:ascii="Times"/>
          <w:sz w:val="22"/>
          <w:szCs w:val="22"/>
          <w:lang w:val="en-US"/>
        </w:rPr>
        <w:t>,</w:t>
      </w:r>
      <w:r>
        <w:rPr>
          <w:rFonts w:ascii="Cambria" w:eastAsia="Cambria" w:hAnsi="Cambria" w:cs="Cambria"/>
          <w:sz w:val="22"/>
          <w:szCs w:val="22"/>
        </w:rPr>
        <w:t>若持有标的企业另外</w:t>
      </w:r>
      <w:r>
        <w:rPr>
          <w:rFonts w:ascii="Times"/>
          <w:sz w:val="22"/>
          <w:szCs w:val="22"/>
          <w:lang w:val="en-US"/>
        </w:rPr>
        <w:t xml:space="preserve"> </w:t>
      </w:r>
      <w:r>
        <w:rPr>
          <w:rFonts w:ascii="Times New Roman"/>
          <w:sz w:val="22"/>
          <w:szCs w:val="22"/>
          <w:lang w:val="en-US"/>
        </w:rPr>
        <w:t xml:space="preserve">12.5% </w:t>
      </w:r>
      <w:r>
        <w:rPr>
          <w:rFonts w:ascii="Cambria" w:eastAsia="Cambria" w:hAnsi="Cambria" w:cs="Cambria"/>
          <w:sz w:val="22"/>
          <w:szCs w:val="22"/>
        </w:rPr>
        <w:t>股权的股东同意转让该等股权予本公司</w:t>
      </w:r>
      <w:r>
        <w:rPr>
          <w:rFonts w:ascii="Times"/>
          <w:sz w:val="22"/>
          <w:szCs w:val="22"/>
          <w:lang w:val="en-US"/>
        </w:rPr>
        <w:t>,</w:t>
      </w:r>
      <w:r>
        <w:rPr>
          <w:rFonts w:ascii="Cambria" w:eastAsia="Cambria" w:hAnsi="Cambria" w:cs="Cambria"/>
          <w:sz w:val="22"/>
          <w:szCs w:val="22"/>
        </w:rPr>
        <w:t>则本公司同意按照本协议约定的有</w:t>
      </w:r>
      <w:r>
        <w:rPr>
          <w:rFonts w:ascii="Times"/>
          <w:sz w:val="22"/>
          <w:szCs w:val="22"/>
          <w:lang w:val="en-US"/>
        </w:rPr>
        <w:t xml:space="preserve"> </w:t>
      </w:r>
      <w:r>
        <w:rPr>
          <w:rFonts w:ascii="Cambria" w:eastAsia="Cambria" w:hAnsi="Cambria" w:cs="Cambria"/>
          <w:sz w:val="22"/>
          <w:szCs w:val="22"/>
        </w:rPr>
        <w:t>关条件购买该等股权。具体内容将以届时有关各方协商签署并经本公司董事</w:t>
      </w:r>
      <w:r>
        <w:rPr>
          <w:rFonts w:ascii="Times"/>
          <w:sz w:val="22"/>
          <w:szCs w:val="22"/>
          <w:lang w:val="en-US"/>
        </w:rPr>
        <w:t xml:space="preserve"> </w:t>
      </w:r>
      <w:r>
        <w:rPr>
          <w:rFonts w:ascii="Cambria" w:eastAsia="Cambria" w:hAnsi="Cambria" w:cs="Cambria"/>
          <w:sz w:val="22"/>
          <w:szCs w:val="22"/>
        </w:rPr>
        <w:t>会或股东大会和相关监管机构批准的《股权转让协议》为准。</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4</w:t>
      </w:r>
      <w:r>
        <w:rPr>
          <w:rFonts w:ascii="Times"/>
          <w:sz w:val="22"/>
          <w:szCs w:val="22"/>
          <w:lang w:val="en-US"/>
        </w:rPr>
        <w:t>)</w:t>
      </w:r>
      <w:r>
        <w:rPr>
          <w:rFonts w:ascii="Cambria" w:eastAsia="Cambria" w:hAnsi="Cambria" w:cs="Cambria"/>
          <w:sz w:val="22"/>
          <w:szCs w:val="22"/>
        </w:rPr>
        <w:t>为保障本协议的顺利履行</w:t>
      </w:r>
      <w:r>
        <w:rPr>
          <w:rFonts w:ascii="Times"/>
          <w:sz w:val="22"/>
          <w:szCs w:val="22"/>
          <w:lang w:val="en-US"/>
        </w:rPr>
        <w:t>,</w:t>
      </w:r>
      <w:r>
        <w:rPr>
          <w:rFonts w:ascii="Cambria" w:eastAsia="Cambria" w:hAnsi="Cambria" w:cs="Cambria"/>
          <w:sz w:val="22"/>
          <w:szCs w:val="22"/>
        </w:rPr>
        <w:t>在本公司为标的企业股东期间</w:t>
      </w:r>
      <w:r>
        <w:rPr>
          <w:rFonts w:ascii="Times"/>
          <w:sz w:val="22"/>
          <w:szCs w:val="22"/>
          <w:lang w:val="en-US"/>
        </w:rPr>
        <w:t>,</w:t>
      </w:r>
      <w:r>
        <w:rPr>
          <w:rFonts w:ascii="Cambria" w:eastAsia="Cambria" w:hAnsi="Cambria" w:cs="Cambria"/>
          <w:sz w:val="22"/>
          <w:szCs w:val="22"/>
        </w:rPr>
        <w:t>未经本公</w:t>
      </w:r>
      <w:r>
        <w:rPr>
          <w:rFonts w:ascii="Times"/>
          <w:sz w:val="22"/>
          <w:szCs w:val="22"/>
          <w:lang w:val="en-US"/>
        </w:rPr>
        <w:t xml:space="preserve"> </w:t>
      </w:r>
      <w:r>
        <w:rPr>
          <w:rFonts w:ascii="Cambria" w:eastAsia="Cambria" w:hAnsi="Cambria" w:cs="Cambria"/>
          <w:sz w:val="22"/>
          <w:szCs w:val="22"/>
        </w:rPr>
        <w:t>司同意</w:t>
      </w:r>
      <w:r>
        <w:rPr>
          <w:rFonts w:ascii="Times"/>
          <w:sz w:val="22"/>
          <w:szCs w:val="22"/>
          <w:lang w:val="en-US"/>
        </w:rPr>
        <w:t>,</w:t>
      </w:r>
      <w:r>
        <w:rPr>
          <w:rFonts w:ascii="Cambria" w:eastAsia="Cambria" w:hAnsi="Cambria" w:cs="Cambria"/>
          <w:sz w:val="22"/>
          <w:szCs w:val="22"/>
        </w:rPr>
        <w:t>交易对方保证交易对方及其他转让方不得向除标的企业现有股东之</w:t>
      </w:r>
      <w:r>
        <w:rPr>
          <w:rFonts w:ascii="Times"/>
          <w:sz w:val="22"/>
          <w:szCs w:val="22"/>
          <w:lang w:val="en-US"/>
        </w:rPr>
        <w:t xml:space="preserve"> </w:t>
      </w:r>
      <w:r>
        <w:rPr>
          <w:rFonts w:ascii="Cambria" w:eastAsia="Cambria" w:hAnsi="Cambria" w:cs="Cambria"/>
          <w:sz w:val="22"/>
          <w:szCs w:val="22"/>
        </w:rPr>
        <w:t>外的第三人转让股权。</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6</w:t>
      </w:r>
      <w:r>
        <w:rPr>
          <w:rFonts w:ascii="Cambria" w:eastAsia="Cambria" w:hAnsi="Cambria" w:cs="Cambria"/>
          <w:sz w:val="22"/>
          <w:szCs w:val="22"/>
        </w:rPr>
        <w:t>、竞业禁止</w:t>
      </w:r>
      <w:r>
        <w:rPr>
          <w:rFonts w:ascii="Times"/>
          <w:sz w:val="22"/>
          <w:szCs w:val="22"/>
          <w:lang w:val="en-US"/>
        </w:rPr>
        <w:t xml:space="preserve"> </w:t>
      </w:r>
      <w:r>
        <w:rPr>
          <w:rFonts w:ascii="Cambria" w:eastAsia="Cambria" w:hAnsi="Cambria" w:cs="Cambria"/>
          <w:sz w:val="22"/>
          <w:szCs w:val="22"/>
        </w:rPr>
        <w:t>除非得到标的公司董事会的明确书面豁免</w:t>
      </w:r>
      <w:r>
        <w:rPr>
          <w:rFonts w:ascii="Times"/>
          <w:sz w:val="22"/>
          <w:szCs w:val="22"/>
          <w:lang w:val="en-US"/>
        </w:rPr>
        <w:t>,</w:t>
      </w:r>
      <w:r>
        <w:rPr>
          <w:rFonts w:ascii="Cambria" w:eastAsia="Cambria" w:hAnsi="Cambria" w:cs="Cambria"/>
          <w:sz w:val="22"/>
          <w:szCs w:val="22"/>
        </w:rPr>
        <w:t>在交易对方担任标的企业股东、</w:t>
      </w:r>
      <w:r>
        <w:rPr>
          <w:rFonts w:ascii="Times"/>
          <w:sz w:val="22"/>
          <w:szCs w:val="22"/>
          <w:lang w:val="en-US"/>
        </w:rPr>
        <w:t xml:space="preserve">  </w:t>
      </w:r>
      <w:r>
        <w:rPr>
          <w:rFonts w:ascii="Cambria" w:eastAsia="Cambria" w:hAnsi="Cambria" w:cs="Cambria"/>
          <w:sz w:val="22"/>
          <w:szCs w:val="22"/>
        </w:rPr>
        <w:t>董事、高级管理人员期间以及停止担任标的企业股东、董事、高级管理人员后的</w:t>
      </w:r>
      <w:r>
        <w:rPr>
          <w:rFonts w:ascii="Times"/>
          <w:sz w:val="22"/>
          <w:szCs w:val="22"/>
          <w:lang w:val="en-US"/>
        </w:rPr>
        <w:t xml:space="preserve"> </w:t>
      </w:r>
      <w:r>
        <w:rPr>
          <w:rFonts w:ascii="Cambria" w:eastAsia="Cambria" w:hAnsi="Cambria" w:cs="Cambria"/>
          <w:sz w:val="22"/>
          <w:szCs w:val="22"/>
        </w:rPr>
        <w:t>二</w:t>
      </w:r>
      <w:r>
        <w:rPr>
          <w:rFonts w:ascii="Times"/>
          <w:sz w:val="22"/>
          <w:szCs w:val="22"/>
          <w:lang w:val="en-US"/>
        </w:rPr>
        <w:t>(</w:t>
      </w:r>
      <w:r>
        <w:rPr>
          <w:rFonts w:ascii="Times New Roman"/>
          <w:sz w:val="22"/>
          <w:szCs w:val="22"/>
          <w:lang w:val="en-US"/>
        </w:rPr>
        <w:t>2</w:t>
      </w:r>
      <w:r>
        <w:rPr>
          <w:rFonts w:ascii="Times"/>
          <w:sz w:val="22"/>
          <w:szCs w:val="22"/>
          <w:lang w:val="en-US"/>
        </w:rPr>
        <w:t>)</w:t>
      </w:r>
      <w:r>
        <w:rPr>
          <w:rFonts w:ascii="Cambria" w:eastAsia="Cambria" w:hAnsi="Cambria" w:cs="Cambria"/>
          <w:sz w:val="22"/>
          <w:szCs w:val="22"/>
        </w:rPr>
        <w:t>年的期间内负有不竞争和不劝诱的义务。</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7</w:t>
      </w:r>
      <w:r>
        <w:rPr>
          <w:rFonts w:ascii="Cambria" w:eastAsia="Cambria" w:hAnsi="Cambria" w:cs="Cambria"/>
          <w:sz w:val="22"/>
          <w:szCs w:val="22"/>
        </w:rPr>
        <w:t>、过渡期安排（略）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w:sz w:val="22"/>
          <w:szCs w:val="22"/>
          <w:lang w:val="en-US"/>
        </w:rPr>
        <w:t>8</w:t>
      </w:r>
      <w:r>
        <w:rPr>
          <w:rFonts w:ascii="Cambria" w:eastAsia="Cambria" w:hAnsi="Cambria" w:cs="Cambria"/>
          <w:sz w:val="22"/>
          <w:szCs w:val="22"/>
        </w:rPr>
        <w:t>、违约责任（略）</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五、收购资产的目的和对公司的影响</w:t>
      </w:r>
    </w:p>
    <w:p w:rsidR="003A5CE8" w:rsidRDefault="007038D7">
      <w:pPr>
        <w:pStyle w:val="B"/>
        <w:spacing w:after="240"/>
        <w:rPr>
          <w:rFonts w:ascii="Times" w:eastAsia="Times" w:hAnsi="Times" w:cs="Times" w:hint="default"/>
          <w:sz w:val="22"/>
          <w:szCs w:val="22"/>
        </w:rPr>
      </w:pPr>
      <w:r>
        <w:rPr>
          <w:rFonts w:ascii="Times" w:eastAsia="Times" w:hAnsi="Times" w:cs="Times"/>
          <w:sz w:val="22"/>
          <w:szCs w:val="22"/>
          <w:lang w:val="en-US"/>
        </w:rPr>
        <w:br/>
      </w:r>
      <w:r>
        <w:rPr>
          <w:rFonts w:ascii="Times New Roman"/>
          <w:sz w:val="22"/>
          <w:szCs w:val="22"/>
          <w:lang w:val="en-US"/>
        </w:rPr>
        <w:t>1</w:t>
      </w:r>
      <w:r>
        <w:rPr>
          <w:rFonts w:ascii="Cambria" w:eastAsia="Cambria" w:hAnsi="Cambria" w:cs="Cambria"/>
          <w:sz w:val="22"/>
          <w:szCs w:val="22"/>
        </w:rPr>
        <w:t>、符合华媒控股多元化发展战略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精典博维主营业务包括图书、杂志等刊物的策划发行</w:t>
      </w:r>
      <w:r>
        <w:rPr>
          <w:rFonts w:ascii="Times"/>
          <w:sz w:val="22"/>
          <w:szCs w:val="22"/>
          <w:lang w:val="en-US"/>
        </w:rPr>
        <w:t>,</w:t>
      </w:r>
      <w:r>
        <w:rPr>
          <w:rFonts w:ascii="Cambria" w:eastAsia="Cambria" w:hAnsi="Cambria" w:cs="Cambria"/>
          <w:sz w:val="22"/>
          <w:szCs w:val="22"/>
        </w:rPr>
        <w:t>在线文学阅读、影视</w:t>
      </w:r>
      <w:r>
        <w:rPr>
          <w:rFonts w:ascii="Times"/>
          <w:sz w:val="22"/>
          <w:szCs w:val="22"/>
          <w:lang w:val="en-US"/>
        </w:rPr>
        <w:t xml:space="preserve"> </w:t>
      </w:r>
      <w:r>
        <w:rPr>
          <w:rFonts w:ascii="Cambria" w:eastAsia="Cambria" w:hAnsi="Cambria" w:cs="Cambria"/>
          <w:sz w:val="22"/>
          <w:szCs w:val="22"/>
        </w:rPr>
        <w:t>改编代理版权购销</w:t>
      </w:r>
      <w:r>
        <w:rPr>
          <w:rFonts w:ascii="Times"/>
          <w:sz w:val="22"/>
          <w:szCs w:val="22"/>
          <w:lang w:val="en-US"/>
        </w:rPr>
        <w:t>,</w:t>
      </w:r>
      <w:r>
        <w:rPr>
          <w:rFonts w:ascii="Cambria" w:eastAsia="Cambria" w:hAnsi="Cambria" w:cs="Cambria"/>
          <w:sz w:val="22"/>
          <w:szCs w:val="22"/>
        </w:rPr>
        <w:t>名家经纪和新媒体渠道广告投放业务。公司图书、杂志的策</w:t>
      </w:r>
      <w:r>
        <w:rPr>
          <w:rFonts w:ascii="Times"/>
          <w:sz w:val="22"/>
          <w:szCs w:val="22"/>
          <w:lang w:val="en-US"/>
        </w:rPr>
        <w:t xml:space="preserve"> </w:t>
      </w:r>
      <w:r>
        <w:rPr>
          <w:rFonts w:ascii="Cambria" w:eastAsia="Cambria" w:hAnsi="Cambria" w:cs="Cambria"/>
          <w:sz w:val="22"/>
          <w:szCs w:val="22"/>
        </w:rPr>
        <w:t>划和发行业务依托于大量的签约作家的著作权和北京市旅游委的长期友好合作</w:t>
      </w:r>
      <w:r>
        <w:rPr>
          <w:rFonts w:ascii="Times"/>
          <w:sz w:val="22"/>
          <w:szCs w:val="22"/>
          <w:lang w:val="en-US"/>
        </w:rPr>
        <w:t xml:space="preserve"> </w:t>
      </w:r>
      <w:r>
        <w:rPr>
          <w:rFonts w:ascii="Cambria" w:eastAsia="Cambria" w:hAnsi="Cambria" w:cs="Cambria"/>
          <w:sz w:val="22"/>
          <w:szCs w:val="22"/>
        </w:rPr>
        <w:t>关系</w:t>
      </w:r>
      <w:r>
        <w:rPr>
          <w:rFonts w:ascii="Times"/>
          <w:sz w:val="22"/>
          <w:szCs w:val="22"/>
          <w:lang w:val="en-US"/>
        </w:rPr>
        <w:t>,</w:t>
      </w:r>
      <w:r>
        <w:rPr>
          <w:rFonts w:ascii="Cambria" w:eastAsia="Cambria" w:hAnsi="Cambria" w:cs="Cambria"/>
          <w:sz w:val="22"/>
          <w:szCs w:val="22"/>
        </w:rPr>
        <w:t>行业壁垒较高</w:t>
      </w:r>
      <w:r>
        <w:rPr>
          <w:rFonts w:ascii="Times"/>
          <w:sz w:val="22"/>
          <w:szCs w:val="22"/>
          <w:lang w:val="en-US"/>
        </w:rPr>
        <w:t>,</w:t>
      </w:r>
      <w:r>
        <w:rPr>
          <w:rFonts w:ascii="Cambria" w:eastAsia="Cambria" w:hAnsi="Cambria" w:cs="Cambria"/>
          <w:sz w:val="22"/>
          <w:szCs w:val="22"/>
        </w:rPr>
        <w:t>符合文化产业发展的宏观政策。精典博维影视改编代理版</w:t>
      </w:r>
      <w:r>
        <w:rPr>
          <w:rFonts w:ascii="Times"/>
          <w:sz w:val="22"/>
          <w:szCs w:val="22"/>
          <w:lang w:val="en-US"/>
        </w:rPr>
        <w:t xml:space="preserve"> </w:t>
      </w:r>
      <w:r>
        <w:rPr>
          <w:rFonts w:ascii="Cambria" w:eastAsia="Cambria" w:hAnsi="Cambria" w:cs="Cambria"/>
          <w:sz w:val="22"/>
          <w:szCs w:val="22"/>
        </w:rPr>
        <w:t>权购销业务衍生于签约的大量文</w:t>
      </w:r>
      <w:r>
        <w:rPr>
          <w:rFonts w:ascii="Cambria" w:eastAsia="Cambria" w:hAnsi="Cambria" w:cs="Cambria"/>
          <w:sz w:val="22"/>
          <w:szCs w:val="22"/>
        </w:rPr>
        <w:lastRenderedPageBreak/>
        <w:t>学作品版权</w:t>
      </w:r>
      <w:r>
        <w:rPr>
          <w:rFonts w:ascii="Times"/>
          <w:sz w:val="22"/>
          <w:szCs w:val="22"/>
          <w:lang w:val="en-US"/>
        </w:rPr>
        <w:t>,</w:t>
      </w:r>
      <w:r>
        <w:rPr>
          <w:rFonts w:ascii="Cambria" w:eastAsia="Cambria" w:hAnsi="Cambria" w:cs="Cambria"/>
          <w:sz w:val="22"/>
          <w:szCs w:val="22"/>
        </w:rPr>
        <w:t>公司通过进行改编将优秀著作以影</w:t>
      </w:r>
      <w:r>
        <w:rPr>
          <w:rFonts w:ascii="Times"/>
          <w:sz w:val="22"/>
          <w:szCs w:val="22"/>
          <w:lang w:val="en-US"/>
        </w:rPr>
        <w:t xml:space="preserve"> </w:t>
      </w:r>
      <w:r>
        <w:rPr>
          <w:rFonts w:ascii="Cambria" w:eastAsia="Cambria" w:hAnsi="Cambria" w:cs="Cambria"/>
          <w:sz w:val="22"/>
          <w:szCs w:val="22"/>
        </w:rPr>
        <w:t>视剧作品的形式推向广大收视观众</w:t>
      </w:r>
      <w:r>
        <w:rPr>
          <w:rFonts w:ascii="Times"/>
          <w:sz w:val="22"/>
          <w:szCs w:val="22"/>
          <w:lang w:val="en-US"/>
        </w:rPr>
        <w:t>;</w:t>
      </w:r>
      <w:r>
        <w:rPr>
          <w:rFonts w:ascii="Cambria" w:eastAsia="Cambria" w:hAnsi="Cambria" w:cs="Cambria"/>
          <w:sz w:val="22"/>
          <w:szCs w:val="22"/>
        </w:rPr>
        <w:t>同时</w:t>
      </w:r>
      <w:r>
        <w:rPr>
          <w:rFonts w:ascii="Times"/>
          <w:sz w:val="22"/>
          <w:szCs w:val="22"/>
          <w:lang w:val="en-US"/>
        </w:rPr>
        <w:t>,</w:t>
      </w:r>
      <w:r>
        <w:rPr>
          <w:rFonts w:ascii="Cambria" w:eastAsia="Cambria" w:hAnsi="Cambria" w:cs="Cambria"/>
          <w:sz w:val="22"/>
          <w:szCs w:val="22"/>
        </w:rPr>
        <w:t>公司拓展影视广告植入代理业务</w:t>
      </w:r>
      <w:r>
        <w:rPr>
          <w:rFonts w:ascii="Times"/>
          <w:sz w:val="22"/>
          <w:szCs w:val="22"/>
          <w:lang w:val="en-US"/>
        </w:rPr>
        <w:t>,</w:t>
      </w:r>
      <w:r>
        <w:rPr>
          <w:rFonts w:ascii="Cambria" w:eastAsia="Cambria" w:hAnsi="Cambria" w:cs="Cambria"/>
          <w:sz w:val="22"/>
          <w:szCs w:val="22"/>
        </w:rPr>
        <w:t>以</w:t>
      </w:r>
      <w:r>
        <w:rPr>
          <w:rFonts w:ascii="Times"/>
          <w:sz w:val="22"/>
          <w:szCs w:val="22"/>
          <w:lang w:val="en-US"/>
        </w:rPr>
        <w:t xml:space="preserve"> </w:t>
      </w:r>
      <w:r>
        <w:rPr>
          <w:rFonts w:ascii="Cambria" w:eastAsia="Cambria" w:hAnsi="Cambria" w:cs="Cambria"/>
          <w:sz w:val="22"/>
          <w:szCs w:val="22"/>
        </w:rPr>
        <w:t>全新的形式开拓影视广告市场。精典博维现有独家签约的名家包括诺贝尔文学奖</w:t>
      </w:r>
      <w:r>
        <w:rPr>
          <w:rFonts w:ascii="Times"/>
          <w:sz w:val="22"/>
          <w:szCs w:val="22"/>
          <w:lang w:val="en-US"/>
        </w:rPr>
        <w:t xml:space="preserve"> </w:t>
      </w:r>
      <w:r>
        <w:rPr>
          <w:rFonts w:ascii="Cambria" w:eastAsia="Cambria" w:hAnsi="Cambria" w:cs="Cambria"/>
          <w:sz w:val="22"/>
          <w:szCs w:val="22"/>
        </w:rPr>
        <w:t>得主莫言</w:t>
      </w:r>
      <w:r>
        <w:rPr>
          <w:rFonts w:ascii="Times"/>
          <w:sz w:val="22"/>
          <w:szCs w:val="22"/>
          <w:lang w:val="en-US"/>
        </w:rPr>
        <w:t>,</w:t>
      </w:r>
      <w:r>
        <w:rPr>
          <w:rFonts w:ascii="Cambria" w:eastAsia="Cambria" w:hAnsi="Cambria" w:cs="Cambria"/>
          <w:sz w:val="22"/>
          <w:szCs w:val="22"/>
        </w:rPr>
        <w:t>知名作家麦家、阿来、阎连科等</w:t>
      </w:r>
      <w:r>
        <w:rPr>
          <w:rFonts w:ascii="Times"/>
          <w:sz w:val="22"/>
          <w:szCs w:val="22"/>
          <w:lang w:val="en-US"/>
        </w:rPr>
        <w:t>,</w:t>
      </w:r>
      <w:r>
        <w:rPr>
          <w:rFonts w:ascii="Cambria" w:eastAsia="Cambria" w:hAnsi="Cambria" w:cs="Cambria"/>
          <w:sz w:val="22"/>
          <w:szCs w:val="22"/>
        </w:rPr>
        <w:t>书画家欧阳中石、马海方、何水法</w:t>
      </w:r>
      <w:r>
        <w:rPr>
          <w:rFonts w:ascii="Times"/>
          <w:sz w:val="22"/>
          <w:szCs w:val="22"/>
          <w:lang w:val="en-US"/>
        </w:rPr>
        <w:t xml:space="preserve"> </w:t>
      </w:r>
      <w:r>
        <w:rPr>
          <w:rFonts w:ascii="Cambria" w:eastAsia="Cambria" w:hAnsi="Cambria" w:cs="Cambria"/>
          <w:sz w:val="22"/>
          <w:szCs w:val="22"/>
        </w:rPr>
        <w:t>等</w:t>
      </w:r>
      <w:r>
        <w:rPr>
          <w:rFonts w:ascii="Times"/>
          <w:sz w:val="22"/>
          <w:szCs w:val="22"/>
          <w:lang w:val="en-US"/>
        </w:rPr>
        <w:t>,</w:t>
      </w:r>
      <w:r>
        <w:rPr>
          <w:rFonts w:ascii="Cambria" w:eastAsia="Cambria" w:hAnsi="Cambria" w:cs="Cambria"/>
          <w:sz w:val="22"/>
          <w:szCs w:val="22"/>
        </w:rPr>
        <w:t>公司通过与这些名家的长期合作积累了大量的优质</w:t>
      </w:r>
      <w:r>
        <w:rPr>
          <w:rFonts w:ascii="Times New Roman"/>
          <w:sz w:val="22"/>
          <w:szCs w:val="22"/>
          <w:lang w:val="en-US"/>
        </w:rPr>
        <w:t>IP</w:t>
      </w:r>
      <w:r>
        <w:rPr>
          <w:rFonts w:ascii="Cambria" w:eastAsia="Cambria" w:hAnsi="Cambria" w:cs="Cambria"/>
          <w:sz w:val="22"/>
          <w:szCs w:val="22"/>
        </w:rPr>
        <w:t>资源。精典博维的业务</w:t>
      </w:r>
      <w:r>
        <w:rPr>
          <w:rFonts w:ascii="Times"/>
          <w:sz w:val="22"/>
          <w:szCs w:val="22"/>
          <w:lang w:val="en-US"/>
        </w:rPr>
        <w:t xml:space="preserve"> </w:t>
      </w:r>
      <w:r>
        <w:rPr>
          <w:rFonts w:ascii="Cambria" w:eastAsia="Cambria" w:hAnsi="Cambria" w:cs="Cambria"/>
          <w:sz w:val="22"/>
          <w:szCs w:val="22"/>
        </w:rPr>
        <w:t>范围很大程度上补强了华媒控股在新媒体、影视广告、核心版权资源方面的短板</w:t>
      </w:r>
      <w:r>
        <w:rPr>
          <w:rFonts w:ascii="Times"/>
          <w:sz w:val="22"/>
          <w:szCs w:val="22"/>
          <w:lang w:val="en-US"/>
        </w:rPr>
        <w:t xml:space="preserve">, </w:t>
      </w:r>
      <w:r>
        <w:rPr>
          <w:rFonts w:ascii="Cambria" w:eastAsia="Cambria" w:hAnsi="Cambria" w:cs="Cambria"/>
          <w:sz w:val="22"/>
          <w:szCs w:val="22"/>
        </w:rPr>
        <w:t>并且拓宽了华媒控股的业态范围</w:t>
      </w:r>
      <w:r>
        <w:rPr>
          <w:rFonts w:ascii="Times"/>
          <w:sz w:val="22"/>
          <w:szCs w:val="22"/>
          <w:lang w:val="en-US"/>
        </w:rPr>
        <w:t>,</w:t>
      </w:r>
      <w:r>
        <w:rPr>
          <w:rFonts w:ascii="Cambria" w:eastAsia="Cambria" w:hAnsi="Cambria" w:cs="Cambria"/>
          <w:sz w:val="22"/>
          <w:szCs w:val="22"/>
        </w:rPr>
        <w:t>符合华媒控股多元化发展的战略</w:t>
      </w:r>
      <w:r>
        <w:rPr>
          <w:rFonts w:ascii="Times"/>
          <w:sz w:val="22"/>
          <w:szCs w:val="22"/>
          <w:lang w:val="en-US"/>
        </w:rPr>
        <w:t>,</w:t>
      </w:r>
      <w:r>
        <w:rPr>
          <w:rFonts w:ascii="Cambria" w:eastAsia="Cambria" w:hAnsi="Cambria" w:cs="Cambria"/>
          <w:sz w:val="22"/>
          <w:szCs w:val="22"/>
        </w:rPr>
        <w:t>推动企业跨</w:t>
      </w:r>
      <w:r>
        <w:rPr>
          <w:rFonts w:ascii="Times"/>
          <w:sz w:val="22"/>
          <w:szCs w:val="22"/>
          <w:lang w:val="en-US"/>
        </w:rPr>
        <w:t xml:space="preserve"> </w:t>
      </w:r>
      <w:r>
        <w:rPr>
          <w:rFonts w:ascii="Cambria" w:eastAsia="Cambria" w:hAnsi="Cambria" w:cs="Cambria"/>
          <w:sz w:val="22"/>
          <w:szCs w:val="22"/>
        </w:rPr>
        <w:t>越式发展。</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2</w:t>
      </w:r>
      <w:r>
        <w:rPr>
          <w:rFonts w:ascii="Cambria" w:eastAsia="Cambria" w:hAnsi="Cambria" w:cs="Cambria"/>
          <w:sz w:val="22"/>
          <w:szCs w:val="22"/>
        </w:rPr>
        <w:t>、精典博维与华媒控股在业务方面的协同效应</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精典博维现有的网络文学业务、类媒体广告投放业务、影视剧本改编、推介</w:t>
      </w:r>
      <w:r>
        <w:rPr>
          <w:rFonts w:ascii="Times"/>
          <w:sz w:val="22"/>
          <w:szCs w:val="22"/>
          <w:lang w:val="en-US"/>
        </w:rPr>
        <w:t xml:space="preserve"> </w:t>
      </w:r>
      <w:r>
        <w:rPr>
          <w:rFonts w:ascii="Cambria" w:eastAsia="Cambria" w:hAnsi="Cambria" w:cs="Cambria"/>
          <w:sz w:val="22"/>
          <w:szCs w:val="22"/>
        </w:rPr>
        <w:t>业务是公司未来重点转型的项目</w:t>
      </w:r>
      <w:r>
        <w:rPr>
          <w:rFonts w:ascii="Times"/>
          <w:sz w:val="22"/>
          <w:szCs w:val="22"/>
          <w:lang w:val="en-US"/>
        </w:rPr>
        <w:t>,</w:t>
      </w:r>
      <w:r>
        <w:rPr>
          <w:rFonts w:ascii="Cambria" w:eastAsia="Cambria" w:hAnsi="Cambria" w:cs="Cambria"/>
          <w:sz w:val="22"/>
          <w:szCs w:val="22"/>
        </w:rPr>
        <w:t>而华媒控股具有精典博维新业务发展所需要的</w:t>
      </w:r>
      <w:r>
        <w:rPr>
          <w:rFonts w:ascii="Times"/>
          <w:sz w:val="22"/>
          <w:szCs w:val="22"/>
          <w:lang w:val="en-US"/>
        </w:rPr>
        <w:t xml:space="preserve"> </w:t>
      </w:r>
      <w:r>
        <w:rPr>
          <w:rFonts w:ascii="Cambria" w:eastAsia="Cambria" w:hAnsi="Cambria" w:cs="Cambria"/>
          <w:sz w:val="22"/>
          <w:szCs w:val="22"/>
        </w:rPr>
        <w:t>资源、影响力和入口</w:t>
      </w:r>
      <w:r>
        <w:rPr>
          <w:rFonts w:ascii="Times"/>
          <w:sz w:val="22"/>
          <w:szCs w:val="22"/>
          <w:lang w:val="en-US"/>
        </w:rPr>
        <w:t>,</w:t>
      </w:r>
      <w:r>
        <w:rPr>
          <w:rFonts w:ascii="Cambria" w:eastAsia="Cambria" w:hAnsi="Cambria" w:cs="Cambria"/>
          <w:sz w:val="22"/>
          <w:szCs w:val="22"/>
        </w:rPr>
        <w:t>如</w:t>
      </w:r>
      <w:r>
        <w:rPr>
          <w:rFonts w:ascii="Times New Roman"/>
          <w:sz w:val="22"/>
          <w:szCs w:val="22"/>
          <w:lang w:val="en-US"/>
        </w:rPr>
        <w:t>19</w:t>
      </w:r>
      <w:r>
        <w:rPr>
          <w:rFonts w:ascii="Cambria" w:eastAsia="Cambria" w:hAnsi="Cambria" w:cs="Cambria"/>
          <w:sz w:val="22"/>
          <w:szCs w:val="22"/>
        </w:rPr>
        <w:t>楼网络平台拥有着广泛的使用群体和在大众当中的影</w:t>
      </w:r>
      <w:r>
        <w:rPr>
          <w:rFonts w:ascii="Times"/>
          <w:sz w:val="22"/>
          <w:szCs w:val="22"/>
          <w:lang w:val="en-US"/>
        </w:rPr>
        <w:t xml:space="preserve"> </w:t>
      </w:r>
      <w:r>
        <w:rPr>
          <w:rFonts w:ascii="Cambria" w:eastAsia="Cambria" w:hAnsi="Cambria" w:cs="Cambria"/>
          <w:sz w:val="22"/>
          <w:szCs w:val="22"/>
        </w:rPr>
        <w:t>响力</w:t>
      </w:r>
      <w:r>
        <w:rPr>
          <w:rFonts w:ascii="Times"/>
          <w:sz w:val="22"/>
          <w:szCs w:val="22"/>
          <w:lang w:val="en-US"/>
        </w:rPr>
        <w:t>;</w:t>
      </w:r>
      <w:r>
        <w:rPr>
          <w:rFonts w:ascii="Cambria" w:eastAsia="Cambria" w:hAnsi="Cambria" w:cs="Cambria"/>
          <w:sz w:val="22"/>
          <w:szCs w:val="22"/>
        </w:rPr>
        <w:t>快点传播拥有极强的渠道拓展能力</w:t>
      </w:r>
      <w:r>
        <w:rPr>
          <w:rFonts w:ascii="Times"/>
          <w:sz w:val="22"/>
          <w:szCs w:val="22"/>
          <w:lang w:val="en-US"/>
        </w:rPr>
        <w:t>,</w:t>
      </w:r>
      <w:r>
        <w:rPr>
          <w:rFonts w:ascii="Cambria" w:eastAsia="Cambria" w:hAnsi="Cambria" w:cs="Cambria"/>
          <w:sz w:val="22"/>
          <w:szCs w:val="22"/>
        </w:rPr>
        <w:t>与湖南卫视、中国移动有着深度合作</w:t>
      </w:r>
      <w:r>
        <w:rPr>
          <w:rFonts w:ascii="Times"/>
          <w:sz w:val="22"/>
          <w:szCs w:val="22"/>
          <w:lang w:val="en-US"/>
        </w:rPr>
        <w:t xml:space="preserve">; </w:t>
      </w:r>
      <w:r>
        <w:rPr>
          <w:rFonts w:ascii="Cambria" w:eastAsia="Cambria" w:hAnsi="Cambria" w:cs="Cambria"/>
          <w:sz w:val="22"/>
          <w:szCs w:val="22"/>
        </w:rPr>
        <w:t>这些资源都可以和精典博维拥有的优秀文学著作权、文化产业项目的运作能力相</w:t>
      </w:r>
      <w:r>
        <w:rPr>
          <w:rFonts w:ascii="Times"/>
          <w:sz w:val="22"/>
          <w:szCs w:val="22"/>
          <w:lang w:val="en-US"/>
        </w:rPr>
        <w:t xml:space="preserve"> </w:t>
      </w:r>
      <w:r>
        <w:rPr>
          <w:rFonts w:ascii="Cambria" w:eastAsia="Cambria" w:hAnsi="Cambria" w:cs="Cambria"/>
          <w:sz w:val="22"/>
          <w:szCs w:val="22"/>
        </w:rPr>
        <w:t>嫁接</w:t>
      </w:r>
      <w:r>
        <w:rPr>
          <w:rFonts w:ascii="Times"/>
          <w:sz w:val="22"/>
          <w:szCs w:val="22"/>
          <w:lang w:val="en-US"/>
        </w:rPr>
        <w:t>,</w:t>
      </w:r>
      <w:r>
        <w:rPr>
          <w:rFonts w:ascii="Cambria" w:eastAsia="Cambria" w:hAnsi="Cambria" w:cs="Cambria"/>
          <w:sz w:val="22"/>
          <w:szCs w:val="22"/>
        </w:rPr>
        <w:t>在提升精典博维盈利能力的同时</w:t>
      </w:r>
      <w:r>
        <w:rPr>
          <w:rFonts w:ascii="Times"/>
          <w:sz w:val="22"/>
          <w:szCs w:val="22"/>
          <w:lang w:val="en-US"/>
        </w:rPr>
        <w:t>,</w:t>
      </w:r>
      <w:r>
        <w:rPr>
          <w:rFonts w:ascii="Cambria" w:eastAsia="Cambria" w:hAnsi="Cambria" w:cs="Cambria"/>
          <w:sz w:val="22"/>
          <w:szCs w:val="22"/>
        </w:rPr>
        <w:t>也能进一步扩大华媒控股的品牌影响力。</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六、中介机构意见结论（略）</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七、备查文件</w:t>
      </w:r>
      <w:r>
        <w:rPr>
          <w:rFonts w:ascii="Times" w:eastAsia="Times" w:hAnsi="Times" w:cs="Times"/>
          <w:sz w:val="22"/>
          <w:szCs w:val="22"/>
          <w:lang w:val="en-US"/>
        </w:rPr>
        <w:br/>
      </w:r>
      <w:r>
        <w:rPr>
          <w:rFonts w:ascii="Cambria" w:eastAsia="Cambria" w:hAnsi="Cambria" w:cs="Cambria"/>
          <w:sz w:val="22"/>
          <w:szCs w:val="22"/>
        </w:rPr>
        <w:t>（略）</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特此公告。</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Cambria" w:eastAsia="Cambria" w:hAnsi="Cambria" w:cs="Cambria"/>
          <w:sz w:val="22"/>
          <w:szCs w:val="22"/>
        </w:rPr>
        <w:t>浙江华媒控股股份有限公司</w:t>
      </w:r>
      <w:r>
        <w:rPr>
          <w:rFonts w:ascii="Times"/>
          <w:sz w:val="22"/>
          <w:szCs w:val="22"/>
          <w:lang w:val="en-US"/>
        </w:rPr>
        <w:t xml:space="preserve"> </w:t>
      </w:r>
      <w:r>
        <w:rPr>
          <w:rFonts w:ascii="Cambria" w:eastAsia="Cambria" w:hAnsi="Cambria" w:cs="Cambria"/>
          <w:sz w:val="22"/>
          <w:szCs w:val="22"/>
        </w:rPr>
        <w:t>董事会</w:t>
      </w:r>
      <w:r>
        <w:rPr>
          <w:rFonts w:ascii="Times"/>
          <w:sz w:val="22"/>
          <w:szCs w:val="22"/>
          <w:lang w:val="en-US"/>
        </w:rPr>
        <w:t xml:space="preserve"> </w:t>
      </w:r>
    </w:p>
    <w:p w:rsidR="003A5CE8" w:rsidRDefault="007038D7">
      <w:pPr>
        <w:pStyle w:val="B"/>
        <w:spacing w:after="240"/>
        <w:rPr>
          <w:rFonts w:ascii="Times" w:eastAsia="Times" w:hAnsi="Times" w:cs="Times" w:hint="default"/>
          <w:sz w:val="22"/>
          <w:szCs w:val="22"/>
        </w:rPr>
      </w:pPr>
      <w:r>
        <w:rPr>
          <w:rFonts w:ascii="Times New Roman"/>
          <w:sz w:val="22"/>
          <w:szCs w:val="22"/>
          <w:lang w:val="en-US"/>
        </w:rPr>
        <w:t>2015</w:t>
      </w:r>
      <w:r>
        <w:rPr>
          <w:rFonts w:ascii="Cambria" w:eastAsia="Cambria" w:hAnsi="Cambria" w:cs="Cambria"/>
          <w:sz w:val="22"/>
          <w:szCs w:val="22"/>
        </w:rPr>
        <w:t>年</w:t>
      </w:r>
      <w:r>
        <w:rPr>
          <w:rFonts w:ascii="Times New Roman"/>
          <w:sz w:val="22"/>
          <w:szCs w:val="22"/>
          <w:lang w:val="en-US"/>
        </w:rPr>
        <w:t>6</w:t>
      </w:r>
      <w:r>
        <w:rPr>
          <w:rFonts w:ascii="Cambria" w:eastAsia="Cambria" w:hAnsi="Cambria" w:cs="Cambria"/>
          <w:sz w:val="22"/>
          <w:szCs w:val="22"/>
        </w:rPr>
        <w:t>月</w:t>
      </w:r>
      <w:r>
        <w:rPr>
          <w:rFonts w:ascii="Times New Roman"/>
          <w:sz w:val="22"/>
          <w:szCs w:val="22"/>
          <w:lang w:val="en-US"/>
        </w:rPr>
        <w:t>30</w:t>
      </w:r>
      <w:r>
        <w:rPr>
          <w:rFonts w:ascii="Cambria" w:eastAsia="Cambria" w:hAnsi="Cambria" w:cs="Cambria"/>
          <w:sz w:val="22"/>
          <w:szCs w:val="22"/>
        </w:rPr>
        <w:t>日</w:t>
      </w:r>
      <w:r>
        <w:rPr>
          <w:rFonts w:ascii="Times"/>
          <w:sz w:val="22"/>
          <w:szCs w:val="22"/>
          <w:lang w:val="en-US"/>
        </w:rPr>
        <w:t xml:space="preserve"> </w:t>
      </w:r>
    </w:p>
    <w:p w:rsidR="003A5CE8" w:rsidRDefault="003A5CE8">
      <w:pPr>
        <w:pStyle w:val="A5"/>
        <w:rPr>
          <w:rFonts w:ascii="宋体" w:eastAsia="宋体" w:hAnsi="宋体" w:cs="宋体"/>
          <w:kern w:val="0"/>
          <w:sz w:val="22"/>
          <w:szCs w:val="22"/>
        </w:rPr>
      </w:pPr>
    </w:p>
    <w:p w:rsidR="003A5CE8" w:rsidRDefault="003A5CE8">
      <w:pPr>
        <w:pStyle w:val="B"/>
        <w:rPr>
          <w:rFonts w:hint="default"/>
          <w:sz w:val="22"/>
          <w:szCs w:val="22"/>
        </w:rPr>
      </w:pPr>
    </w:p>
    <w:p w:rsidR="003A5CE8" w:rsidRPr="001A1987" w:rsidRDefault="00C867FB" w:rsidP="001A1987">
      <w:pPr>
        <w:pStyle w:val="A5"/>
        <w:spacing w:line="360" w:lineRule="auto"/>
        <w:ind w:firstLineChars="200" w:firstLine="422"/>
        <w:rPr>
          <w:rFonts w:eastAsiaTheme="minorEastAsia"/>
          <w:b/>
          <w:sz w:val="21"/>
          <w:szCs w:val="21"/>
          <w:lang w:eastAsia="zh-CN"/>
        </w:rPr>
      </w:pPr>
      <w:r w:rsidRPr="001A1987">
        <w:rPr>
          <w:rFonts w:eastAsiaTheme="minorEastAsia" w:hint="eastAsia"/>
          <w:b/>
          <w:sz w:val="21"/>
          <w:szCs w:val="21"/>
          <w:lang w:eastAsia="zh-CN"/>
        </w:rPr>
        <w:t>请阅读案例材料并从两个问题中选择一个，形成一篇不少于</w:t>
      </w:r>
      <w:r w:rsidRPr="001A1987">
        <w:rPr>
          <w:rFonts w:eastAsiaTheme="minorEastAsia" w:hint="eastAsia"/>
          <w:b/>
          <w:sz w:val="21"/>
          <w:szCs w:val="21"/>
          <w:lang w:eastAsia="zh-CN"/>
        </w:rPr>
        <w:t>3000</w:t>
      </w:r>
      <w:r w:rsidRPr="001A1987">
        <w:rPr>
          <w:rFonts w:eastAsiaTheme="minorEastAsia" w:hint="eastAsia"/>
          <w:b/>
          <w:sz w:val="21"/>
          <w:szCs w:val="21"/>
          <w:lang w:eastAsia="zh-CN"/>
        </w:rPr>
        <w:t>字的文章。</w:t>
      </w:r>
    </w:p>
    <w:p w:rsidR="00C867FB" w:rsidRPr="001A1987" w:rsidRDefault="00C867FB" w:rsidP="001A1987">
      <w:pPr>
        <w:pStyle w:val="A5"/>
        <w:spacing w:line="360" w:lineRule="auto"/>
        <w:ind w:firstLineChars="200" w:firstLine="422"/>
        <w:rPr>
          <w:rFonts w:eastAsiaTheme="minorEastAsia"/>
          <w:b/>
          <w:sz w:val="21"/>
          <w:szCs w:val="21"/>
          <w:lang w:eastAsia="zh-CN"/>
        </w:rPr>
      </w:pPr>
      <w:r w:rsidRPr="001A1987">
        <w:rPr>
          <w:rFonts w:eastAsiaTheme="minorEastAsia" w:hint="eastAsia"/>
          <w:b/>
          <w:sz w:val="21"/>
          <w:szCs w:val="21"/>
          <w:lang w:eastAsia="zh-CN"/>
        </w:rPr>
        <w:t>问题</w:t>
      </w:r>
      <w:proofErr w:type="gramStart"/>
      <w:r w:rsidRPr="001A1987">
        <w:rPr>
          <w:rFonts w:eastAsiaTheme="minorEastAsia" w:hint="eastAsia"/>
          <w:b/>
          <w:sz w:val="21"/>
          <w:szCs w:val="21"/>
          <w:lang w:eastAsia="zh-CN"/>
        </w:rPr>
        <w:t>一</w:t>
      </w:r>
      <w:proofErr w:type="gramEnd"/>
      <w:r w:rsidRPr="001A1987">
        <w:rPr>
          <w:rFonts w:eastAsiaTheme="minorEastAsia" w:hint="eastAsia"/>
          <w:b/>
          <w:sz w:val="21"/>
          <w:szCs w:val="21"/>
          <w:lang w:eastAsia="zh-CN"/>
        </w:rPr>
        <w:t>：随着科技的发展和人类文明的进步，文化娱乐等轻资产类企业在我国迎来了发展的好时机。请阅读本案例后，谈谈轻资产企业借力资本加速发展的利弊，并畅谈如何完善金融生态服务中小企业。</w:t>
      </w:r>
    </w:p>
    <w:p w:rsidR="00C867FB" w:rsidRPr="001A1987" w:rsidRDefault="00C867FB" w:rsidP="001A1987">
      <w:pPr>
        <w:pStyle w:val="A5"/>
        <w:spacing w:line="360" w:lineRule="auto"/>
        <w:ind w:firstLineChars="200" w:firstLine="422"/>
        <w:rPr>
          <w:rFonts w:eastAsiaTheme="minorEastAsia"/>
          <w:b/>
          <w:sz w:val="21"/>
          <w:szCs w:val="21"/>
        </w:rPr>
      </w:pPr>
      <w:r w:rsidRPr="001A1987">
        <w:rPr>
          <w:rFonts w:eastAsiaTheme="minorEastAsia" w:hint="eastAsia"/>
          <w:b/>
          <w:sz w:val="21"/>
          <w:szCs w:val="21"/>
        </w:rPr>
        <w:t>问题二</w:t>
      </w:r>
      <w:r w:rsidRPr="001A1987">
        <w:rPr>
          <w:rFonts w:eastAsiaTheme="minorEastAsia" w:hint="eastAsia"/>
          <w:b/>
          <w:sz w:val="21"/>
          <w:szCs w:val="21"/>
          <w:lang w:eastAsia="zh-CN"/>
        </w:rPr>
        <w:t>：资本对创业者的支持至关重要，有时候是创业者能否抢滩成功的关键。但是，所有的投资又都在情怀之外多了一份功利。请阅读案例，谈谈资本的逐利性与企业家情怀的关系。</w:t>
      </w:r>
    </w:p>
    <w:p w:rsidR="00C867FB" w:rsidRPr="00C867FB" w:rsidRDefault="00C867FB" w:rsidP="00C867FB">
      <w:pPr>
        <w:pStyle w:val="A5"/>
        <w:spacing w:line="360" w:lineRule="auto"/>
        <w:ind w:firstLineChars="200" w:firstLine="420"/>
        <w:rPr>
          <w:rFonts w:eastAsiaTheme="minorEastAsia"/>
          <w:sz w:val="21"/>
          <w:szCs w:val="21"/>
        </w:rPr>
      </w:pPr>
      <w:bookmarkStart w:id="0" w:name="_GoBack"/>
      <w:bookmarkEnd w:id="0"/>
    </w:p>
    <w:sectPr w:rsidR="00C867FB" w:rsidRPr="00C867FB">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34E" w:rsidRDefault="004A734E">
      <w:r>
        <w:separator/>
      </w:r>
    </w:p>
  </w:endnote>
  <w:endnote w:type="continuationSeparator" w:id="0">
    <w:p w:rsidR="004A734E" w:rsidRDefault="004A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华文宋体">
    <w:panose1 w:val="02010600040101010101"/>
    <w:charset w:val="86"/>
    <w:family w:val="auto"/>
    <w:pitch w:val="variable"/>
    <w:sig w:usb0="00000287" w:usb1="080F0000" w:usb2="00000010" w:usb3="00000000" w:csb0="0004009F" w:csb1="00000000"/>
  </w:font>
  <w:font w:name="Times">
    <w:panose1 w:val="02020603050405020304"/>
    <w:charset w:val="00"/>
    <w:family w:val="roman"/>
    <w:pitch w:val="default"/>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34E" w:rsidRDefault="004A734E">
      <w:r>
        <w:separator/>
      </w:r>
    </w:p>
  </w:footnote>
  <w:footnote w:type="continuationSeparator" w:id="0">
    <w:p w:rsidR="004A734E" w:rsidRDefault="004A7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18B7"/>
    <w:multiLevelType w:val="multilevel"/>
    <w:tmpl w:val="BC0C98C0"/>
    <w:styleLink w:val="List1"/>
    <w:lvl w:ilvl="0">
      <w:numFmt w:val="bullet"/>
      <w:lvlText w:val="•"/>
      <w:lvlJc w:val="left"/>
      <w:pPr>
        <w:tabs>
          <w:tab w:val="num" w:pos="197"/>
        </w:tabs>
        <w:ind w:left="197" w:hanging="197"/>
      </w:pPr>
      <w:rPr>
        <w:rFonts w:ascii="Trebuchet MS" w:eastAsia="Trebuchet MS" w:hAnsi="Trebuchet MS" w:cs="Trebuchet MS"/>
        <w:color w:val="FFFFFF"/>
        <w:position w:val="0"/>
        <w:sz w:val="22"/>
        <w:szCs w:val="22"/>
        <w:u w:color="FFFFFF"/>
        <w:lang w:val="zh-TW" w:eastAsia="zh-TW"/>
      </w:rPr>
    </w:lvl>
    <w:lvl w:ilvl="1">
      <w:start w:val="1"/>
      <w:numFmt w:val="bullet"/>
      <w:lvlText w:val="•"/>
      <w:lvlJc w:val="left"/>
      <w:pPr>
        <w:tabs>
          <w:tab w:val="num" w:pos="263"/>
        </w:tabs>
        <w:ind w:left="263" w:hanging="263"/>
      </w:pPr>
      <w:rPr>
        <w:rFonts w:ascii="Helvetica" w:eastAsia="Helvetica" w:hAnsi="Helvetica" w:cs="Helvetica"/>
        <w:color w:val="FFFFFF"/>
        <w:position w:val="0"/>
        <w:sz w:val="20"/>
        <w:szCs w:val="20"/>
        <w:u w:color="FFFFFF"/>
        <w:lang w:val="zh-TW" w:eastAsia="zh-TW"/>
      </w:rPr>
    </w:lvl>
    <w:lvl w:ilvl="2">
      <w:start w:val="1"/>
      <w:numFmt w:val="bullet"/>
      <w:lvlText w:val="•"/>
      <w:lvlJc w:val="left"/>
      <w:pPr>
        <w:tabs>
          <w:tab w:val="num" w:pos="527"/>
        </w:tabs>
        <w:ind w:left="527" w:hanging="527"/>
      </w:pPr>
      <w:rPr>
        <w:rFonts w:ascii="Helvetica" w:eastAsia="Helvetica" w:hAnsi="Helvetica" w:cs="Helvetica"/>
        <w:color w:val="FFFFFF"/>
        <w:position w:val="0"/>
        <w:sz w:val="20"/>
        <w:szCs w:val="20"/>
        <w:u w:color="FFFFFF"/>
        <w:lang w:val="zh-TW" w:eastAsia="zh-TW"/>
      </w:rPr>
    </w:lvl>
    <w:lvl w:ilvl="3">
      <w:start w:val="1"/>
      <w:numFmt w:val="bullet"/>
      <w:lvlText w:val="•"/>
      <w:lvlJc w:val="left"/>
      <w:pPr>
        <w:tabs>
          <w:tab w:val="num" w:pos="789"/>
        </w:tabs>
        <w:ind w:left="789" w:hanging="789"/>
      </w:pPr>
      <w:rPr>
        <w:rFonts w:ascii="Helvetica" w:eastAsia="Helvetica" w:hAnsi="Helvetica" w:cs="Helvetica"/>
        <w:color w:val="FFFFFF"/>
        <w:position w:val="0"/>
        <w:sz w:val="20"/>
        <w:szCs w:val="20"/>
        <w:u w:color="FFFFFF"/>
        <w:lang w:val="zh-TW" w:eastAsia="zh-TW"/>
      </w:rPr>
    </w:lvl>
    <w:lvl w:ilvl="4">
      <w:start w:val="1"/>
      <w:numFmt w:val="bullet"/>
      <w:lvlText w:val="•"/>
      <w:lvlJc w:val="left"/>
      <w:pPr>
        <w:tabs>
          <w:tab w:val="num" w:pos="1053"/>
        </w:tabs>
        <w:ind w:left="1053" w:hanging="1053"/>
      </w:pPr>
      <w:rPr>
        <w:rFonts w:ascii="Helvetica" w:eastAsia="Helvetica" w:hAnsi="Helvetica" w:cs="Helvetica"/>
        <w:color w:val="FFFFFF"/>
        <w:position w:val="0"/>
        <w:sz w:val="20"/>
        <w:szCs w:val="20"/>
        <w:u w:color="FFFFFF"/>
        <w:lang w:val="zh-TW" w:eastAsia="zh-TW"/>
      </w:rPr>
    </w:lvl>
    <w:lvl w:ilvl="5">
      <w:start w:val="1"/>
      <w:numFmt w:val="bullet"/>
      <w:lvlText w:val="•"/>
      <w:lvlJc w:val="left"/>
      <w:pPr>
        <w:tabs>
          <w:tab w:val="num" w:pos="1315"/>
        </w:tabs>
        <w:ind w:left="1315" w:hanging="1315"/>
      </w:pPr>
      <w:rPr>
        <w:rFonts w:ascii="Helvetica" w:eastAsia="Helvetica" w:hAnsi="Helvetica" w:cs="Helvetica"/>
        <w:color w:val="FFFFFF"/>
        <w:position w:val="0"/>
        <w:sz w:val="20"/>
        <w:szCs w:val="20"/>
        <w:u w:color="FFFFFF"/>
        <w:lang w:val="zh-TW" w:eastAsia="zh-TW"/>
      </w:rPr>
    </w:lvl>
    <w:lvl w:ilvl="6">
      <w:start w:val="1"/>
      <w:numFmt w:val="bullet"/>
      <w:lvlText w:val="•"/>
      <w:lvlJc w:val="left"/>
      <w:pPr>
        <w:tabs>
          <w:tab w:val="num" w:pos="1578"/>
        </w:tabs>
        <w:ind w:left="1578" w:hanging="1578"/>
      </w:pPr>
      <w:rPr>
        <w:rFonts w:ascii="Helvetica" w:eastAsia="Helvetica" w:hAnsi="Helvetica" w:cs="Helvetica"/>
        <w:color w:val="FFFFFF"/>
        <w:position w:val="0"/>
        <w:sz w:val="20"/>
        <w:szCs w:val="20"/>
        <w:u w:color="FFFFFF"/>
        <w:lang w:val="zh-TW" w:eastAsia="zh-TW"/>
      </w:rPr>
    </w:lvl>
    <w:lvl w:ilvl="7">
      <w:start w:val="1"/>
      <w:numFmt w:val="bullet"/>
      <w:lvlText w:val="•"/>
      <w:lvlJc w:val="left"/>
      <w:pPr>
        <w:tabs>
          <w:tab w:val="num" w:pos="1842"/>
        </w:tabs>
        <w:ind w:left="1842" w:hanging="1842"/>
      </w:pPr>
      <w:rPr>
        <w:rFonts w:ascii="Helvetica" w:eastAsia="Helvetica" w:hAnsi="Helvetica" w:cs="Helvetica"/>
        <w:color w:val="FFFFFF"/>
        <w:position w:val="0"/>
        <w:sz w:val="20"/>
        <w:szCs w:val="20"/>
        <w:u w:color="FFFFFF"/>
        <w:lang w:val="zh-TW" w:eastAsia="zh-TW"/>
      </w:rPr>
    </w:lvl>
    <w:lvl w:ilvl="8">
      <w:start w:val="1"/>
      <w:numFmt w:val="bullet"/>
      <w:lvlText w:val="•"/>
      <w:lvlJc w:val="left"/>
      <w:pPr>
        <w:tabs>
          <w:tab w:val="num" w:pos="2104"/>
        </w:tabs>
        <w:ind w:left="2104" w:hanging="2104"/>
      </w:pPr>
      <w:rPr>
        <w:rFonts w:ascii="Helvetica" w:eastAsia="Helvetica" w:hAnsi="Helvetica" w:cs="Helvetica"/>
        <w:color w:val="FFFFFF"/>
        <w:position w:val="0"/>
        <w:sz w:val="20"/>
        <w:szCs w:val="20"/>
        <w:u w:color="FFFFFF"/>
        <w:lang w:val="zh-TW" w:eastAsia="zh-TW"/>
      </w:rPr>
    </w:lvl>
  </w:abstractNum>
  <w:abstractNum w:abstractNumId="1">
    <w:nsid w:val="080718A7"/>
    <w:multiLevelType w:val="multilevel"/>
    <w:tmpl w:val="0C70A006"/>
    <w:lvl w:ilvl="0">
      <w:start w:val="1"/>
      <w:numFmt w:val="bullet"/>
      <w:lvlText w:val="•"/>
      <w:lvlJc w:val="left"/>
      <w:pPr>
        <w:tabs>
          <w:tab w:val="num" w:pos="197"/>
        </w:tabs>
        <w:ind w:left="197" w:hanging="197"/>
      </w:pPr>
      <w:rPr>
        <w:rFonts w:ascii="Helvetica" w:eastAsia="Helvetica" w:hAnsi="Helvetica" w:cs="Helvetica"/>
        <w:color w:val="FFFFFF"/>
        <w:position w:val="0"/>
        <w:sz w:val="20"/>
        <w:szCs w:val="20"/>
        <w:u w:color="FFFFFF"/>
        <w:lang w:val="zh-TW" w:eastAsia="zh-TW"/>
      </w:rPr>
    </w:lvl>
    <w:lvl w:ilvl="1">
      <w:start w:val="1"/>
      <w:numFmt w:val="bullet"/>
      <w:lvlText w:val="•"/>
      <w:lvlJc w:val="left"/>
      <w:pPr>
        <w:tabs>
          <w:tab w:val="num" w:pos="263"/>
        </w:tabs>
        <w:ind w:left="263" w:hanging="263"/>
      </w:pPr>
      <w:rPr>
        <w:rFonts w:ascii="Helvetica" w:eastAsia="Helvetica" w:hAnsi="Helvetica" w:cs="Helvetica"/>
        <w:color w:val="FFFFFF"/>
        <w:position w:val="0"/>
        <w:sz w:val="20"/>
        <w:szCs w:val="20"/>
        <w:u w:color="FFFFFF"/>
        <w:lang w:val="zh-TW" w:eastAsia="zh-TW"/>
      </w:rPr>
    </w:lvl>
    <w:lvl w:ilvl="2">
      <w:start w:val="1"/>
      <w:numFmt w:val="bullet"/>
      <w:lvlText w:val="•"/>
      <w:lvlJc w:val="left"/>
      <w:pPr>
        <w:tabs>
          <w:tab w:val="num" w:pos="527"/>
        </w:tabs>
        <w:ind w:left="527" w:hanging="527"/>
      </w:pPr>
      <w:rPr>
        <w:rFonts w:ascii="Helvetica" w:eastAsia="Helvetica" w:hAnsi="Helvetica" w:cs="Helvetica"/>
        <w:color w:val="FFFFFF"/>
        <w:position w:val="0"/>
        <w:sz w:val="20"/>
        <w:szCs w:val="20"/>
        <w:u w:color="FFFFFF"/>
        <w:lang w:val="zh-TW" w:eastAsia="zh-TW"/>
      </w:rPr>
    </w:lvl>
    <w:lvl w:ilvl="3">
      <w:start w:val="1"/>
      <w:numFmt w:val="bullet"/>
      <w:lvlText w:val="•"/>
      <w:lvlJc w:val="left"/>
      <w:pPr>
        <w:tabs>
          <w:tab w:val="num" w:pos="789"/>
        </w:tabs>
        <w:ind w:left="789" w:hanging="789"/>
      </w:pPr>
      <w:rPr>
        <w:rFonts w:ascii="Helvetica" w:eastAsia="Helvetica" w:hAnsi="Helvetica" w:cs="Helvetica"/>
        <w:color w:val="FFFFFF"/>
        <w:position w:val="0"/>
        <w:sz w:val="20"/>
        <w:szCs w:val="20"/>
        <w:u w:color="FFFFFF"/>
        <w:lang w:val="zh-TW" w:eastAsia="zh-TW"/>
      </w:rPr>
    </w:lvl>
    <w:lvl w:ilvl="4">
      <w:start w:val="1"/>
      <w:numFmt w:val="bullet"/>
      <w:lvlText w:val="•"/>
      <w:lvlJc w:val="left"/>
      <w:pPr>
        <w:tabs>
          <w:tab w:val="num" w:pos="1053"/>
        </w:tabs>
        <w:ind w:left="1053" w:hanging="1053"/>
      </w:pPr>
      <w:rPr>
        <w:rFonts w:ascii="Helvetica" w:eastAsia="Helvetica" w:hAnsi="Helvetica" w:cs="Helvetica"/>
        <w:color w:val="FFFFFF"/>
        <w:position w:val="0"/>
        <w:sz w:val="20"/>
        <w:szCs w:val="20"/>
        <w:u w:color="FFFFFF"/>
        <w:lang w:val="zh-TW" w:eastAsia="zh-TW"/>
      </w:rPr>
    </w:lvl>
    <w:lvl w:ilvl="5">
      <w:start w:val="1"/>
      <w:numFmt w:val="bullet"/>
      <w:lvlText w:val="•"/>
      <w:lvlJc w:val="left"/>
      <w:pPr>
        <w:tabs>
          <w:tab w:val="num" w:pos="1315"/>
        </w:tabs>
        <w:ind w:left="1315" w:hanging="1315"/>
      </w:pPr>
      <w:rPr>
        <w:rFonts w:ascii="Helvetica" w:eastAsia="Helvetica" w:hAnsi="Helvetica" w:cs="Helvetica"/>
        <w:color w:val="FFFFFF"/>
        <w:position w:val="0"/>
        <w:sz w:val="20"/>
        <w:szCs w:val="20"/>
        <w:u w:color="FFFFFF"/>
        <w:lang w:val="zh-TW" w:eastAsia="zh-TW"/>
      </w:rPr>
    </w:lvl>
    <w:lvl w:ilvl="6">
      <w:start w:val="1"/>
      <w:numFmt w:val="bullet"/>
      <w:lvlText w:val="•"/>
      <w:lvlJc w:val="left"/>
      <w:pPr>
        <w:tabs>
          <w:tab w:val="num" w:pos="1578"/>
        </w:tabs>
        <w:ind w:left="1578" w:hanging="1578"/>
      </w:pPr>
      <w:rPr>
        <w:rFonts w:ascii="Helvetica" w:eastAsia="Helvetica" w:hAnsi="Helvetica" w:cs="Helvetica"/>
        <w:color w:val="FFFFFF"/>
        <w:position w:val="0"/>
        <w:sz w:val="20"/>
        <w:szCs w:val="20"/>
        <w:u w:color="FFFFFF"/>
        <w:lang w:val="zh-TW" w:eastAsia="zh-TW"/>
      </w:rPr>
    </w:lvl>
    <w:lvl w:ilvl="7">
      <w:start w:val="1"/>
      <w:numFmt w:val="bullet"/>
      <w:lvlText w:val="•"/>
      <w:lvlJc w:val="left"/>
      <w:pPr>
        <w:tabs>
          <w:tab w:val="num" w:pos="1842"/>
        </w:tabs>
        <w:ind w:left="1842" w:hanging="1842"/>
      </w:pPr>
      <w:rPr>
        <w:rFonts w:ascii="Helvetica" w:eastAsia="Helvetica" w:hAnsi="Helvetica" w:cs="Helvetica"/>
        <w:color w:val="FFFFFF"/>
        <w:position w:val="0"/>
        <w:sz w:val="20"/>
        <w:szCs w:val="20"/>
        <w:u w:color="FFFFFF"/>
        <w:lang w:val="zh-TW" w:eastAsia="zh-TW"/>
      </w:rPr>
    </w:lvl>
    <w:lvl w:ilvl="8">
      <w:start w:val="1"/>
      <w:numFmt w:val="bullet"/>
      <w:lvlText w:val="•"/>
      <w:lvlJc w:val="left"/>
      <w:pPr>
        <w:tabs>
          <w:tab w:val="num" w:pos="2104"/>
        </w:tabs>
        <w:ind w:left="2104" w:hanging="2104"/>
      </w:pPr>
      <w:rPr>
        <w:rFonts w:ascii="Helvetica" w:eastAsia="Helvetica" w:hAnsi="Helvetica" w:cs="Helvetica"/>
        <w:color w:val="FFFFFF"/>
        <w:position w:val="0"/>
        <w:sz w:val="20"/>
        <w:szCs w:val="20"/>
        <w:u w:color="FFFFFF"/>
        <w:lang w:val="zh-TW" w:eastAsia="zh-TW"/>
      </w:rPr>
    </w:lvl>
  </w:abstractNum>
  <w:abstractNum w:abstractNumId="2">
    <w:nsid w:val="08C05C98"/>
    <w:multiLevelType w:val="multilevel"/>
    <w:tmpl w:val="D772F02A"/>
    <w:lvl w:ilvl="0">
      <w:start w:val="1"/>
      <w:numFmt w:val="bullet"/>
      <w:lvlText w:val="•"/>
      <w:lvlJc w:val="left"/>
      <w:pPr>
        <w:tabs>
          <w:tab w:val="num" w:pos="197"/>
        </w:tabs>
        <w:ind w:left="197" w:hanging="197"/>
      </w:pPr>
      <w:rPr>
        <w:rFonts w:ascii="Helvetica" w:eastAsia="Helvetica" w:hAnsi="Helvetica" w:cs="Helvetica"/>
        <w:color w:val="FFFFFF"/>
        <w:position w:val="0"/>
        <w:sz w:val="20"/>
        <w:szCs w:val="20"/>
        <w:u w:color="FFFFFF"/>
        <w:lang w:val="zh-TW" w:eastAsia="zh-TW"/>
      </w:rPr>
    </w:lvl>
    <w:lvl w:ilvl="1">
      <w:start w:val="1"/>
      <w:numFmt w:val="bullet"/>
      <w:lvlText w:val="•"/>
      <w:lvlJc w:val="left"/>
      <w:pPr>
        <w:tabs>
          <w:tab w:val="num" w:pos="263"/>
        </w:tabs>
        <w:ind w:left="263" w:hanging="263"/>
      </w:pPr>
      <w:rPr>
        <w:rFonts w:ascii="Helvetica" w:eastAsia="Helvetica" w:hAnsi="Helvetica" w:cs="Helvetica"/>
        <w:color w:val="FFFFFF"/>
        <w:position w:val="0"/>
        <w:sz w:val="20"/>
        <w:szCs w:val="20"/>
        <w:u w:color="FFFFFF"/>
        <w:lang w:val="zh-TW" w:eastAsia="zh-TW"/>
      </w:rPr>
    </w:lvl>
    <w:lvl w:ilvl="2">
      <w:start w:val="1"/>
      <w:numFmt w:val="bullet"/>
      <w:lvlText w:val="•"/>
      <w:lvlJc w:val="left"/>
      <w:pPr>
        <w:tabs>
          <w:tab w:val="num" w:pos="527"/>
        </w:tabs>
        <w:ind w:left="527" w:hanging="527"/>
      </w:pPr>
      <w:rPr>
        <w:rFonts w:ascii="Helvetica" w:eastAsia="Helvetica" w:hAnsi="Helvetica" w:cs="Helvetica"/>
        <w:color w:val="FFFFFF"/>
        <w:position w:val="0"/>
        <w:sz w:val="20"/>
        <w:szCs w:val="20"/>
        <w:u w:color="FFFFFF"/>
        <w:lang w:val="zh-TW" w:eastAsia="zh-TW"/>
      </w:rPr>
    </w:lvl>
    <w:lvl w:ilvl="3">
      <w:start w:val="1"/>
      <w:numFmt w:val="bullet"/>
      <w:lvlText w:val="•"/>
      <w:lvlJc w:val="left"/>
      <w:pPr>
        <w:tabs>
          <w:tab w:val="num" w:pos="789"/>
        </w:tabs>
        <w:ind w:left="789" w:hanging="789"/>
      </w:pPr>
      <w:rPr>
        <w:rFonts w:ascii="Helvetica" w:eastAsia="Helvetica" w:hAnsi="Helvetica" w:cs="Helvetica"/>
        <w:color w:val="FFFFFF"/>
        <w:position w:val="0"/>
        <w:sz w:val="20"/>
        <w:szCs w:val="20"/>
        <w:u w:color="FFFFFF"/>
        <w:lang w:val="zh-TW" w:eastAsia="zh-TW"/>
      </w:rPr>
    </w:lvl>
    <w:lvl w:ilvl="4">
      <w:start w:val="1"/>
      <w:numFmt w:val="bullet"/>
      <w:lvlText w:val="•"/>
      <w:lvlJc w:val="left"/>
      <w:pPr>
        <w:tabs>
          <w:tab w:val="num" w:pos="1053"/>
        </w:tabs>
        <w:ind w:left="1053" w:hanging="1053"/>
      </w:pPr>
      <w:rPr>
        <w:rFonts w:ascii="Helvetica" w:eastAsia="Helvetica" w:hAnsi="Helvetica" w:cs="Helvetica"/>
        <w:color w:val="FFFFFF"/>
        <w:position w:val="0"/>
        <w:sz w:val="20"/>
        <w:szCs w:val="20"/>
        <w:u w:color="FFFFFF"/>
        <w:lang w:val="zh-TW" w:eastAsia="zh-TW"/>
      </w:rPr>
    </w:lvl>
    <w:lvl w:ilvl="5">
      <w:start w:val="1"/>
      <w:numFmt w:val="bullet"/>
      <w:lvlText w:val="•"/>
      <w:lvlJc w:val="left"/>
      <w:pPr>
        <w:tabs>
          <w:tab w:val="num" w:pos="1315"/>
        </w:tabs>
        <w:ind w:left="1315" w:hanging="1315"/>
      </w:pPr>
      <w:rPr>
        <w:rFonts w:ascii="Helvetica" w:eastAsia="Helvetica" w:hAnsi="Helvetica" w:cs="Helvetica"/>
        <w:color w:val="FFFFFF"/>
        <w:position w:val="0"/>
        <w:sz w:val="20"/>
        <w:szCs w:val="20"/>
        <w:u w:color="FFFFFF"/>
        <w:lang w:val="zh-TW" w:eastAsia="zh-TW"/>
      </w:rPr>
    </w:lvl>
    <w:lvl w:ilvl="6">
      <w:start w:val="1"/>
      <w:numFmt w:val="bullet"/>
      <w:lvlText w:val="•"/>
      <w:lvlJc w:val="left"/>
      <w:pPr>
        <w:tabs>
          <w:tab w:val="num" w:pos="1578"/>
        </w:tabs>
        <w:ind w:left="1578" w:hanging="1578"/>
      </w:pPr>
      <w:rPr>
        <w:rFonts w:ascii="Helvetica" w:eastAsia="Helvetica" w:hAnsi="Helvetica" w:cs="Helvetica"/>
        <w:color w:val="FFFFFF"/>
        <w:position w:val="0"/>
        <w:sz w:val="20"/>
        <w:szCs w:val="20"/>
        <w:u w:color="FFFFFF"/>
        <w:lang w:val="zh-TW" w:eastAsia="zh-TW"/>
      </w:rPr>
    </w:lvl>
    <w:lvl w:ilvl="7">
      <w:start w:val="1"/>
      <w:numFmt w:val="bullet"/>
      <w:lvlText w:val="•"/>
      <w:lvlJc w:val="left"/>
      <w:pPr>
        <w:tabs>
          <w:tab w:val="num" w:pos="1842"/>
        </w:tabs>
        <w:ind w:left="1842" w:hanging="1842"/>
      </w:pPr>
      <w:rPr>
        <w:rFonts w:ascii="Helvetica" w:eastAsia="Helvetica" w:hAnsi="Helvetica" w:cs="Helvetica"/>
        <w:color w:val="FFFFFF"/>
        <w:position w:val="0"/>
        <w:sz w:val="20"/>
        <w:szCs w:val="20"/>
        <w:u w:color="FFFFFF"/>
        <w:lang w:val="zh-TW" w:eastAsia="zh-TW"/>
      </w:rPr>
    </w:lvl>
    <w:lvl w:ilvl="8">
      <w:start w:val="1"/>
      <w:numFmt w:val="bullet"/>
      <w:lvlText w:val="•"/>
      <w:lvlJc w:val="left"/>
      <w:pPr>
        <w:tabs>
          <w:tab w:val="num" w:pos="2104"/>
        </w:tabs>
        <w:ind w:left="2104" w:hanging="2104"/>
      </w:pPr>
      <w:rPr>
        <w:rFonts w:ascii="Helvetica" w:eastAsia="Helvetica" w:hAnsi="Helvetica" w:cs="Helvetica"/>
        <w:color w:val="FFFFFF"/>
        <w:position w:val="0"/>
        <w:sz w:val="20"/>
        <w:szCs w:val="20"/>
        <w:u w:color="FFFFFF"/>
        <w:lang w:val="zh-TW" w:eastAsia="zh-TW"/>
      </w:rPr>
    </w:lvl>
  </w:abstractNum>
  <w:abstractNum w:abstractNumId="3">
    <w:nsid w:val="1C4009E3"/>
    <w:multiLevelType w:val="multilevel"/>
    <w:tmpl w:val="E6922EA8"/>
    <w:lvl w:ilvl="0">
      <w:start w:val="1"/>
      <w:numFmt w:val="bullet"/>
      <w:lvlText w:val="•"/>
      <w:lvlJc w:val="left"/>
      <w:rPr>
        <w:color w:val="FFFFFF"/>
        <w:position w:val="0"/>
      </w:rPr>
    </w:lvl>
    <w:lvl w:ilvl="1">
      <w:start w:val="1"/>
      <w:numFmt w:val="bullet"/>
      <w:lvlText w:val="•"/>
      <w:lvlJc w:val="left"/>
      <w:rPr>
        <w:color w:val="FFFFFF"/>
        <w:position w:val="0"/>
      </w:rPr>
    </w:lvl>
    <w:lvl w:ilvl="2">
      <w:start w:val="1"/>
      <w:numFmt w:val="bullet"/>
      <w:lvlText w:val="•"/>
      <w:lvlJc w:val="left"/>
      <w:rPr>
        <w:color w:val="FFFFFF"/>
        <w:position w:val="0"/>
      </w:rPr>
    </w:lvl>
    <w:lvl w:ilvl="3">
      <w:start w:val="1"/>
      <w:numFmt w:val="bullet"/>
      <w:lvlText w:val="•"/>
      <w:lvlJc w:val="left"/>
      <w:rPr>
        <w:color w:val="FFFFFF"/>
        <w:position w:val="0"/>
      </w:rPr>
    </w:lvl>
    <w:lvl w:ilvl="4">
      <w:start w:val="1"/>
      <w:numFmt w:val="bullet"/>
      <w:lvlText w:val="•"/>
      <w:lvlJc w:val="left"/>
      <w:rPr>
        <w:color w:val="FFFFFF"/>
        <w:position w:val="0"/>
      </w:rPr>
    </w:lvl>
    <w:lvl w:ilvl="5">
      <w:start w:val="1"/>
      <w:numFmt w:val="bullet"/>
      <w:lvlText w:val="•"/>
      <w:lvlJc w:val="left"/>
      <w:rPr>
        <w:color w:val="FFFFFF"/>
        <w:position w:val="0"/>
      </w:rPr>
    </w:lvl>
    <w:lvl w:ilvl="6">
      <w:start w:val="1"/>
      <w:numFmt w:val="bullet"/>
      <w:lvlText w:val="•"/>
      <w:lvlJc w:val="left"/>
      <w:rPr>
        <w:color w:val="FFFFFF"/>
        <w:position w:val="0"/>
      </w:rPr>
    </w:lvl>
    <w:lvl w:ilvl="7">
      <w:start w:val="1"/>
      <w:numFmt w:val="bullet"/>
      <w:lvlText w:val="•"/>
      <w:lvlJc w:val="left"/>
      <w:rPr>
        <w:color w:val="FFFFFF"/>
        <w:position w:val="0"/>
      </w:rPr>
    </w:lvl>
    <w:lvl w:ilvl="8">
      <w:start w:val="1"/>
      <w:numFmt w:val="bullet"/>
      <w:lvlText w:val="•"/>
      <w:lvlJc w:val="left"/>
      <w:rPr>
        <w:color w:val="FFFFFF"/>
        <w:position w:val="0"/>
      </w:rPr>
    </w:lvl>
  </w:abstractNum>
  <w:abstractNum w:abstractNumId="4">
    <w:nsid w:val="1FCE5C11"/>
    <w:multiLevelType w:val="multilevel"/>
    <w:tmpl w:val="9B5E1516"/>
    <w:lvl w:ilvl="0">
      <w:start w:val="1"/>
      <w:numFmt w:val="bullet"/>
      <w:lvlText w:val="•"/>
      <w:lvlJc w:val="left"/>
      <w:rPr>
        <w:color w:val="FFFFFF"/>
        <w:position w:val="0"/>
      </w:rPr>
    </w:lvl>
    <w:lvl w:ilvl="1">
      <w:start w:val="1"/>
      <w:numFmt w:val="bullet"/>
      <w:lvlText w:val="•"/>
      <w:lvlJc w:val="left"/>
      <w:rPr>
        <w:color w:val="FFFFFF"/>
        <w:position w:val="0"/>
      </w:rPr>
    </w:lvl>
    <w:lvl w:ilvl="2">
      <w:start w:val="1"/>
      <w:numFmt w:val="bullet"/>
      <w:lvlText w:val="•"/>
      <w:lvlJc w:val="left"/>
      <w:rPr>
        <w:color w:val="FFFFFF"/>
        <w:position w:val="0"/>
      </w:rPr>
    </w:lvl>
    <w:lvl w:ilvl="3">
      <w:start w:val="1"/>
      <w:numFmt w:val="bullet"/>
      <w:lvlText w:val="•"/>
      <w:lvlJc w:val="left"/>
      <w:rPr>
        <w:color w:val="FFFFFF"/>
        <w:position w:val="0"/>
      </w:rPr>
    </w:lvl>
    <w:lvl w:ilvl="4">
      <w:start w:val="1"/>
      <w:numFmt w:val="bullet"/>
      <w:lvlText w:val="•"/>
      <w:lvlJc w:val="left"/>
      <w:rPr>
        <w:color w:val="FFFFFF"/>
        <w:position w:val="0"/>
      </w:rPr>
    </w:lvl>
    <w:lvl w:ilvl="5">
      <w:start w:val="1"/>
      <w:numFmt w:val="bullet"/>
      <w:lvlText w:val="•"/>
      <w:lvlJc w:val="left"/>
      <w:rPr>
        <w:color w:val="FFFFFF"/>
        <w:position w:val="0"/>
      </w:rPr>
    </w:lvl>
    <w:lvl w:ilvl="6">
      <w:start w:val="1"/>
      <w:numFmt w:val="bullet"/>
      <w:lvlText w:val="•"/>
      <w:lvlJc w:val="left"/>
      <w:rPr>
        <w:color w:val="FFFFFF"/>
        <w:position w:val="0"/>
      </w:rPr>
    </w:lvl>
    <w:lvl w:ilvl="7">
      <w:start w:val="1"/>
      <w:numFmt w:val="bullet"/>
      <w:lvlText w:val="•"/>
      <w:lvlJc w:val="left"/>
      <w:rPr>
        <w:color w:val="FFFFFF"/>
        <w:position w:val="0"/>
      </w:rPr>
    </w:lvl>
    <w:lvl w:ilvl="8">
      <w:start w:val="1"/>
      <w:numFmt w:val="bullet"/>
      <w:lvlText w:val="•"/>
      <w:lvlJc w:val="left"/>
      <w:rPr>
        <w:color w:val="FFFFFF"/>
        <w:position w:val="0"/>
      </w:rPr>
    </w:lvl>
  </w:abstractNum>
  <w:abstractNum w:abstractNumId="5">
    <w:nsid w:val="23D902B5"/>
    <w:multiLevelType w:val="multilevel"/>
    <w:tmpl w:val="FB1AAC92"/>
    <w:styleLink w:val="21"/>
    <w:lvl w:ilvl="0">
      <w:numFmt w:val="bullet"/>
      <w:lvlText w:val="•"/>
      <w:lvlJc w:val="left"/>
      <w:pPr>
        <w:tabs>
          <w:tab w:val="num" w:pos="197"/>
        </w:tabs>
        <w:ind w:left="197" w:hanging="197"/>
      </w:pPr>
      <w:rPr>
        <w:rFonts w:ascii="Trebuchet MS" w:eastAsia="Trebuchet MS" w:hAnsi="Trebuchet MS" w:cs="Trebuchet MS"/>
        <w:color w:val="FFFFFF"/>
        <w:position w:val="0"/>
        <w:sz w:val="22"/>
        <w:szCs w:val="22"/>
        <w:u w:color="FFFFFF"/>
        <w:lang w:val="zh-TW" w:eastAsia="zh-TW"/>
      </w:rPr>
    </w:lvl>
    <w:lvl w:ilvl="1">
      <w:start w:val="1"/>
      <w:numFmt w:val="bullet"/>
      <w:lvlText w:val="•"/>
      <w:lvlJc w:val="left"/>
      <w:pPr>
        <w:tabs>
          <w:tab w:val="num" w:pos="263"/>
        </w:tabs>
        <w:ind w:left="263" w:hanging="263"/>
      </w:pPr>
      <w:rPr>
        <w:rFonts w:ascii="Helvetica" w:eastAsia="Helvetica" w:hAnsi="Helvetica" w:cs="Helvetica"/>
        <w:color w:val="FFFFFF"/>
        <w:position w:val="0"/>
        <w:sz w:val="20"/>
        <w:szCs w:val="20"/>
        <w:u w:color="FFFFFF"/>
        <w:lang w:val="zh-TW" w:eastAsia="zh-TW"/>
      </w:rPr>
    </w:lvl>
    <w:lvl w:ilvl="2">
      <w:start w:val="1"/>
      <w:numFmt w:val="bullet"/>
      <w:lvlText w:val="•"/>
      <w:lvlJc w:val="left"/>
      <w:pPr>
        <w:tabs>
          <w:tab w:val="num" w:pos="527"/>
        </w:tabs>
        <w:ind w:left="527" w:hanging="527"/>
      </w:pPr>
      <w:rPr>
        <w:rFonts w:ascii="Helvetica" w:eastAsia="Helvetica" w:hAnsi="Helvetica" w:cs="Helvetica"/>
        <w:color w:val="FFFFFF"/>
        <w:position w:val="0"/>
        <w:sz w:val="20"/>
        <w:szCs w:val="20"/>
        <w:u w:color="FFFFFF"/>
        <w:lang w:val="zh-TW" w:eastAsia="zh-TW"/>
      </w:rPr>
    </w:lvl>
    <w:lvl w:ilvl="3">
      <w:start w:val="1"/>
      <w:numFmt w:val="bullet"/>
      <w:lvlText w:val="•"/>
      <w:lvlJc w:val="left"/>
      <w:pPr>
        <w:tabs>
          <w:tab w:val="num" w:pos="789"/>
        </w:tabs>
        <w:ind w:left="789" w:hanging="789"/>
      </w:pPr>
      <w:rPr>
        <w:rFonts w:ascii="Helvetica" w:eastAsia="Helvetica" w:hAnsi="Helvetica" w:cs="Helvetica"/>
        <w:color w:val="FFFFFF"/>
        <w:position w:val="0"/>
        <w:sz w:val="20"/>
        <w:szCs w:val="20"/>
        <w:u w:color="FFFFFF"/>
        <w:lang w:val="zh-TW" w:eastAsia="zh-TW"/>
      </w:rPr>
    </w:lvl>
    <w:lvl w:ilvl="4">
      <w:start w:val="1"/>
      <w:numFmt w:val="bullet"/>
      <w:lvlText w:val="•"/>
      <w:lvlJc w:val="left"/>
      <w:pPr>
        <w:tabs>
          <w:tab w:val="num" w:pos="1053"/>
        </w:tabs>
        <w:ind w:left="1053" w:hanging="1053"/>
      </w:pPr>
      <w:rPr>
        <w:rFonts w:ascii="Helvetica" w:eastAsia="Helvetica" w:hAnsi="Helvetica" w:cs="Helvetica"/>
        <w:color w:val="FFFFFF"/>
        <w:position w:val="0"/>
        <w:sz w:val="20"/>
        <w:szCs w:val="20"/>
        <w:u w:color="FFFFFF"/>
        <w:lang w:val="zh-TW" w:eastAsia="zh-TW"/>
      </w:rPr>
    </w:lvl>
    <w:lvl w:ilvl="5">
      <w:start w:val="1"/>
      <w:numFmt w:val="bullet"/>
      <w:lvlText w:val="•"/>
      <w:lvlJc w:val="left"/>
      <w:pPr>
        <w:tabs>
          <w:tab w:val="num" w:pos="1315"/>
        </w:tabs>
        <w:ind w:left="1315" w:hanging="1315"/>
      </w:pPr>
      <w:rPr>
        <w:rFonts w:ascii="Helvetica" w:eastAsia="Helvetica" w:hAnsi="Helvetica" w:cs="Helvetica"/>
        <w:color w:val="FFFFFF"/>
        <w:position w:val="0"/>
        <w:sz w:val="20"/>
        <w:szCs w:val="20"/>
        <w:u w:color="FFFFFF"/>
        <w:lang w:val="zh-TW" w:eastAsia="zh-TW"/>
      </w:rPr>
    </w:lvl>
    <w:lvl w:ilvl="6">
      <w:start w:val="1"/>
      <w:numFmt w:val="bullet"/>
      <w:lvlText w:val="•"/>
      <w:lvlJc w:val="left"/>
      <w:pPr>
        <w:tabs>
          <w:tab w:val="num" w:pos="1578"/>
        </w:tabs>
        <w:ind w:left="1578" w:hanging="1578"/>
      </w:pPr>
      <w:rPr>
        <w:rFonts w:ascii="Helvetica" w:eastAsia="Helvetica" w:hAnsi="Helvetica" w:cs="Helvetica"/>
        <w:color w:val="FFFFFF"/>
        <w:position w:val="0"/>
        <w:sz w:val="20"/>
        <w:szCs w:val="20"/>
        <w:u w:color="FFFFFF"/>
        <w:lang w:val="zh-TW" w:eastAsia="zh-TW"/>
      </w:rPr>
    </w:lvl>
    <w:lvl w:ilvl="7">
      <w:start w:val="1"/>
      <w:numFmt w:val="bullet"/>
      <w:lvlText w:val="•"/>
      <w:lvlJc w:val="left"/>
      <w:pPr>
        <w:tabs>
          <w:tab w:val="num" w:pos="1842"/>
        </w:tabs>
        <w:ind w:left="1842" w:hanging="1842"/>
      </w:pPr>
      <w:rPr>
        <w:rFonts w:ascii="Helvetica" w:eastAsia="Helvetica" w:hAnsi="Helvetica" w:cs="Helvetica"/>
        <w:color w:val="FFFFFF"/>
        <w:position w:val="0"/>
        <w:sz w:val="20"/>
        <w:szCs w:val="20"/>
        <w:u w:color="FFFFFF"/>
        <w:lang w:val="zh-TW" w:eastAsia="zh-TW"/>
      </w:rPr>
    </w:lvl>
    <w:lvl w:ilvl="8">
      <w:start w:val="1"/>
      <w:numFmt w:val="bullet"/>
      <w:lvlText w:val="•"/>
      <w:lvlJc w:val="left"/>
      <w:pPr>
        <w:tabs>
          <w:tab w:val="num" w:pos="2104"/>
        </w:tabs>
        <w:ind w:left="2104" w:hanging="2104"/>
      </w:pPr>
      <w:rPr>
        <w:rFonts w:ascii="Helvetica" w:eastAsia="Helvetica" w:hAnsi="Helvetica" w:cs="Helvetica"/>
        <w:color w:val="FFFFFF"/>
        <w:position w:val="0"/>
        <w:sz w:val="20"/>
        <w:szCs w:val="20"/>
        <w:u w:color="FFFFFF"/>
        <w:lang w:val="zh-TW" w:eastAsia="zh-TW"/>
      </w:rPr>
    </w:lvl>
  </w:abstractNum>
  <w:abstractNum w:abstractNumId="6">
    <w:nsid w:val="25BB2F30"/>
    <w:multiLevelType w:val="multilevel"/>
    <w:tmpl w:val="1A0C9300"/>
    <w:styleLink w:val="List0"/>
    <w:lvl w:ilvl="0">
      <w:numFmt w:val="bullet"/>
      <w:lvlText w:val="•"/>
      <w:lvlJc w:val="left"/>
      <w:pPr>
        <w:tabs>
          <w:tab w:val="num" w:pos="197"/>
        </w:tabs>
        <w:ind w:left="197" w:hanging="197"/>
      </w:pPr>
      <w:rPr>
        <w:rFonts w:ascii="Trebuchet MS" w:eastAsia="Trebuchet MS" w:hAnsi="Trebuchet MS" w:cs="Trebuchet MS"/>
        <w:color w:val="FFFFFF"/>
        <w:position w:val="0"/>
        <w:sz w:val="22"/>
        <w:szCs w:val="22"/>
        <w:u w:color="FFFFFF"/>
        <w:lang w:val="zh-TW" w:eastAsia="zh-TW"/>
      </w:rPr>
    </w:lvl>
    <w:lvl w:ilvl="1">
      <w:start w:val="1"/>
      <w:numFmt w:val="bullet"/>
      <w:lvlText w:val="•"/>
      <w:lvlJc w:val="left"/>
      <w:pPr>
        <w:tabs>
          <w:tab w:val="num" w:pos="263"/>
        </w:tabs>
        <w:ind w:left="263" w:hanging="263"/>
      </w:pPr>
      <w:rPr>
        <w:rFonts w:ascii="Helvetica" w:eastAsia="Helvetica" w:hAnsi="Helvetica" w:cs="Helvetica"/>
        <w:color w:val="FFFFFF"/>
        <w:position w:val="0"/>
        <w:sz w:val="20"/>
        <w:szCs w:val="20"/>
        <w:u w:color="FFFFFF"/>
        <w:lang w:val="zh-TW" w:eastAsia="zh-TW"/>
      </w:rPr>
    </w:lvl>
    <w:lvl w:ilvl="2">
      <w:start w:val="1"/>
      <w:numFmt w:val="bullet"/>
      <w:lvlText w:val="•"/>
      <w:lvlJc w:val="left"/>
      <w:pPr>
        <w:tabs>
          <w:tab w:val="num" w:pos="527"/>
        </w:tabs>
        <w:ind w:left="527" w:hanging="527"/>
      </w:pPr>
      <w:rPr>
        <w:rFonts w:ascii="Helvetica" w:eastAsia="Helvetica" w:hAnsi="Helvetica" w:cs="Helvetica"/>
        <w:color w:val="FFFFFF"/>
        <w:position w:val="0"/>
        <w:sz w:val="20"/>
        <w:szCs w:val="20"/>
        <w:u w:color="FFFFFF"/>
        <w:lang w:val="zh-TW" w:eastAsia="zh-TW"/>
      </w:rPr>
    </w:lvl>
    <w:lvl w:ilvl="3">
      <w:start w:val="1"/>
      <w:numFmt w:val="bullet"/>
      <w:lvlText w:val="•"/>
      <w:lvlJc w:val="left"/>
      <w:pPr>
        <w:tabs>
          <w:tab w:val="num" w:pos="789"/>
        </w:tabs>
        <w:ind w:left="789" w:hanging="789"/>
      </w:pPr>
      <w:rPr>
        <w:rFonts w:ascii="Helvetica" w:eastAsia="Helvetica" w:hAnsi="Helvetica" w:cs="Helvetica"/>
        <w:color w:val="FFFFFF"/>
        <w:position w:val="0"/>
        <w:sz w:val="20"/>
        <w:szCs w:val="20"/>
        <w:u w:color="FFFFFF"/>
        <w:lang w:val="zh-TW" w:eastAsia="zh-TW"/>
      </w:rPr>
    </w:lvl>
    <w:lvl w:ilvl="4">
      <w:start w:val="1"/>
      <w:numFmt w:val="bullet"/>
      <w:lvlText w:val="•"/>
      <w:lvlJc w:val="left"/>
      <w:pPr>
        <w:tabs>
          <w:tab w:val="num" w:pos="1053"/>
        </w:tabs>
        <w:ind w:left="1053" w:hanging="1053"/>
      </w:pPr>
      <w:rPr>
        <w:rFonts w:ascii="Helvetica" w:eastAsia="Helvetica" w:hAnsi="Helvetica" w:cs="Helvetica"/>
        <w:color w:val="FFFFFF"/>
        <w:position w:val="0"/>
        <w:sz w:val="20"/>
        <w:szCs w:val="20"/>
        <w:u w:color="FFFFFF"/>
        <w:lang w:val="zh-TW" w:eastAsia="zh-TW"/>
      </w:rPr>
    </w:lvl>
    <w:lvl w:ilvl="5">
      <w:start w:val="1"/>
      <w:numFmt w:val="bullet"/>
      <w:lvlText w:val="•"/>
      <w:lvlJc w:val="left"/>
      <w:pPr>
        <w:tabs>
          <w:tab w:val="num" w:pos="1315"/>
        </w:tabs>
        <w:ind w:left="1315" w:hanging="1315"/>
      </w:pPr>
      <w:rPr>
        <w:rFonts w:ascii="Helvetica" w:eastAsia="Helvetica" w:hAnsi="Helvetica" w:cs="Helvetica"/>
        <w:color w:val="FFFFFF"/>
        <w:position w:val="0"/>
        <w:sz w:val="20"/>
        <w:szCs w:val="20"/>
        <w:u w:color="FFFFFF"/>
        <w:lang w:val="zh-TW" w:eastAsia="zh-TW"/>
      </w:rPr>
    </w:lvl>
    <w:lvl w:ilvl="6">
      <w:start w:val="1"/>
      <w:numFmt w:val="bullet"/>
      <w:lvlText w:val="•"/>
      <w:lvlJc w:val="left"/>
      <w:pPr>
        <w:tabs>
          <w:tab w:val="num" w:pos="1578"/>
        </w:tabs>
        <w:ind w:left="1578" w:hanging="1578"/>
      </w:pPr>
      <w:rPr>
        <w:rFonts w:ascii="Helvetica" w:eastAsia="Helvetica" w:hAnsi="Helvetica" w:cs="Helvetica"/>
        <w:color w:val="FFFFFF"/>
        <w:position w:val="0"/>
        <w:sz w:val="20"/>
        <w:szCs w:val="20"/>
        <w:u w:color="FFFFFF"/>
        <w:lang w:val="zh-TW" w:eastAsia="zh-TW"/>
      </w:rPr>
    </w:lvl>
    <w:lvl w:ilvl="7">
      <w:start w:val="1"/>
      <w:numFmt w:val="bullet"/>
      <w:lvlText w:val="•"/>
      <w:lvlJc w:val="left"/>
      <w:pPr>
        <w:tabs>
          <w:tab w:val="num" w:pos="1842"/>
        </w:tabs>
        <w:ind w:left="1842" w:hanging="1842"/>
      </w:pPr>
      <w:rPr>
        <w:rFonts w:ascii="Helvetica" w:eastAsia="Helvetica" w:hAnsi="Helvetica" w:cs="Helvetica"/>
        <w:color w:val="FFFFFF"/>
        <w:position w:val="0"/>
        <w:sz w:val="20"/>
        <w:szCs w:val="20"/>
        <w:u w:color="FFFFFF"/>
        <w:lang w:val="zh-TW" w:eastAsia="zh-TW"/>
      </w:rPr>
    </w:lvl>
    <w:lvl w:ilvl="8">
      <w:start w:val="1"/>
      <w:numFmt w:val="bullet"/>
      <w:lvlText w:val="•"/>
      <w:lvlJc w:val="left"/>
      <w:pPr>
        <w:tabs>
          <w:tab w:val="num" w:pos="2104"/>
        </w:tabs>
        <w:ind w:left="2104" w:hanging="2104"/>
      </w:pPr>
      <w:rPr>
        <w:rFonts w:ascii="Helvetica" w:eastAsia="Helvetica" w:hAnsi="Helvetica" w:cs="Helvetica"/>
        <w:color w:val="FFFFFF"/>
        <w:position w:val="0"/>
        <w:sz w:val="20"/>
        <w:szCs w:val="20"/>
        <w:u w:color="FFFFFF"/>
        <w:lang w:val="zh-TW" w:eastAsia="zh-TW"/>
      </w:rPr>
    </w:lvl>
  </w:abstractNum>
  <w:abstractNum w:abstractNumId="7">
    <w:nsid w:val="3CE9705B"/>
    <w:multiLevelType w:val="multilevel"/>
    <w:tmpl w:val="302C5BC6"/>
    <w:lvl w:ilvl="0">
      <w:start w:val="1"/>
      <w:numFmt w:val="bullet"/>
      <w:lvlText w:val="•"/>
      <w:lvlJc w:val="left"/>
      <w:pPr>
        <w:tabs>
          <w:tab w:val="num" w:pos="197"/>
        </w:tabs>
        <w:ind w:left="197" w:hanging="197"/>
      </w:pPr>
      <w:rPr>
        <w:rFonts w:ascii="Helvetica" w:eastAsia="Helvetica" w:hAnsi="Helvetica" w:cs="Helvetica"/>
        <w:color w:val="FFFFFF"/>
        <w:position w:val="0"/>
        <w:sz w:val="20"/>
        <w:szCs w:val="20"/>
        <w:u w:color="FFFFFF"/>
        <w:lang w:val="zh-TW" w:eastAsia="zh-TW"/>
      </w:rPr>
    </w:lvl>
    <w:lvl w:ilvl="1">
      <w:start w:val="1"/>
      <w:numFmt w:val="bullet"/>
      <w:lvlText w:val="•"/>
      <w:lvlJc w:val="left"/>
      <w:pPr>
        <w:tabs>
          <w:tab w:val="num" w:pos="263"/>
        </w:tabs>
        <w:ind w:left="263" w:hanging="263"/>
      </w:pPr>
      <w:rPr>
        <w:rFonts w:ascii="Helvetica" w:eastAsia="Helvetica" w:hAnsi="Helvetica" w:cs="Helvetica"/>
        <w:color w:val="FFFFFF"/>
        <w:position w:val="0"/>
        <w:sz w:val="20"/>
        <w:szCs w:val="20"/>
        <w:u w:color="FFFFFF"/>
        <w:lang w:val="zh-TW" w:eastAsia="zh-TW"/>
      </w:rPr>
    </w:lvl>
    <w:lvl w:ilvl="2">
      <w:start w:val="1"/>
      <w:numFmt w:val="bullet"/>
      <w:lvlText w:val="•"/>
      <w:lvlJc w:val="left"/>
      <w:pPr>
        <w:tabs>
          <w:tab w:val="num" w:pos="527"/>
        </w:tabs>
        <w:ind w:left="527" w:hanging="527"/>
      </w:pPr>
      <w:rPr>
        <w:rFonts w:ascii="Helvetica" w:eastAsia="Helvetica" w:hAnsi="Helvetica" w:cs="Helvetica"/>
        <w:color w:val="FFFFFF"/>
        <w:position w:val="0"/>
        <w:sz w:val="20"/>
        <w:szCs w:val="20"/>
        <w:u w:color="FFFFFF"/>
        <w:lang w:val="zh-TW" w:eastAsia="zh-TW"/>
      </w:rPr>
    </w:lvl>
    <w:lvl w:ilvl="3">
      <w:start w:val="1"/>
      <w:numFmt w:val="bullet"/>
      <w:lvlText w:val="•"/>
      <w:lvlJc w:val="left"/>
      <w:pPr>
        <w:tabs>
          <w:tab w:val="num" w:pos="789"/>
        </w:tabs>
        <w:ind w:left="789" w:hanging="789"/>
      </w:pPr>
      <w:rPr>
        <w:rFonts w:ascii="Helvetica" w:eastAsia="Helvetica" w:hAnsi="Helvetica" w:cs="Helvetica"/>
        <w:color w:val="FFFFFF"/>
        <w:position w:val="0"/>
        <w:sz w:val="20"/>
        <w:szCs w:val="20"/>
        <w:u w:color="FFFFFF"/>
        <w:lang w:val="zh-TW" w:eastAsia="zh-TW"/>
      </w:rPr>
    </w:lvl>
    <w:lvl w:ilvl="4">
      <w:start w:val="1"/>
      <w:numFmt w:val="bullet"/>
      <w:lvlText w:val="•"/>
      <w:lvlJc w:val="left"/>
      <w:pPr>
        <w:tabs>
          <w:tab w:val="num" w:pos="1053"/>
        </w:tabs>
        <w:ind w:left="1053" w:hanging="1053"/>
      </w:pPr>
      <w:rPr>
        <w:rFonts w:ascii="Helvetica" w:eastAsia="Helvetica" w:hAnsi="Helvetica" w:cs="Helvetica"/>
        <w:color w:val="FFFFFF"/>
        <w:position w:val="0"/>
        <w:sz w:val="20"/>
        <w:szCs w:val="20"/>
        <w:u w:color="FFFFFF"/>
        <w:lang w:val="zh-TW" w:eastAsia="zh-TW"/>
      </w:rPr>
    </w:lvl>
    <w:lvl w:ilvl="5">
      <w:start w:val="1"/>
      <w:numFmt w:val="bullet"/>
      <w:lvlText w:val="•"/>
      <w:lvlJc w:val="left"/>
      <w:pPr>
        <w:tabs>
          <w:tab w:val="num" w:pos="1315"/>
        </w:tabs>
        <w:ind w:left="1315" w:hanging="1315"/>
      </w:pPr>
      <w:rPr>
        <w:rFonts w:ascii="Helvetica" w:eastAsia="Helvetica" w:hAnsi="Helvetica" w:cs="Helvetica"/>
        <w:color w:val="FFFFFF"/>
        <w:position w:val="0"/>
        <w:sz w:val="20"/>
        <w:szCs w:val="20"/>
        <w:u w:color="FFFFFF"/>
        <w:lang w:val="zh-TW" w:eastAsia="zh-TW"/>
      </w:rPr>
    </w:lvl>
    <w:lvl w:ilvl="6">
      <w:start w:val="1"/>
      <w:numFmt w:val="bullet"/>
      <w:lvlText w:val="•"/>
      <w:lvlJc w:val="left"/>
      <w:pPr>
        <w:tabs>
          <w:tab w:val="num" w:pos="1578"/>
        </w:tabs>
        <w:ind w:left="1578" w:hanging="1578"/>
      </w:pPr>
      <w:rPr>
        <w:rFonts w:ascii="Helvetica" w:eastAsia="Helvetica" w:hAnsi="Helvetica" w:cs="Helvetica"/>
        <w:color w:val="FFFFFF"/>
        <w:position w:val="0"/>
        <w:sz w:val="20"/>
        <w:szCs w:val="20"/>
        <w:u w:color="FFFFFF"/>
        <w:lang w:val="zh-TW" w:eastAsia="zh-TW"/>
      </w:rPr>
    </w:lvl>
    <w:lvl w:ilvl="7">
      <w:start w:val="1"/>
      <w:numFmt w:val="bullet"/>
      <w:lvlText w:val="•"/>
      <w:lvlJc w:val="left"/>
      <w:pPr>
        <w:tabs>
          <w:tab w:val="num" w:pos="1842"/>
        </w:tabs>
        <w:ind w:left="1842" w:hanging="1842"/>
      </w:pPr>
      <w:rPr>
        <w:rFonts w:ascii="Helvetica" w:eastAsia="Helvetica" w:hAnsi="Helvetica" w:cs="Helvetica"/>
        <w:color w:val="FFFFFF"/>
        <w:position w:val="0"/>
        <w:sz w:val="20"/>
        <w:szCs w:val="20"/>
        <w:u w:color="FFFFFF"/>
        <w:lang w:val="zh-TW" w:eastAsia="zh-TW"/>
      </w:rPr>
    </w:lvl>
    <w:lvl w:ilvl="8">
      <w:start w:val="1"/>
      <w:numFmt w:val="bullet"/>
      <w:lvlText w:val="•"/>
      <w:lvlJc w:val="left"/>
      <w:pPr>
        <w:tabs>
          <w:tab w:val="num" w:pos="2104"/>
        </w:tabs>
        <w:ind w:left="2104" w:hanging="2104"/>
      </w:pPr>
      <w:rPr>
        <w:rFonts w:ascii="Helvetica" w:eastAsia="Helvetica" w:hAnsi="Helvetica" w:cs="Helvetica"/>
        <w:color w:val="FFFFFF"/>
        <w:position w:val="0"/>
        <w:sz w:val="20"/>
        <w:szCs w:val="20"/>
        <w:u w:color="FFFFFF"/>
        <w:lang w:val="zh-TW" w:eastAsia="zh-TW"/>
      </w:rPr>
    </w:lvl>
  </w:abstractNum>
  <w:abstractNum w:abstractNumId="8">
    <w:nsid w:val="58515713"/>
    <w:multiLevelType w:val="multilevel"/>
    <w:tmpl w:val="9C54AF50"/>
    <w:lvl w:ilvl="0">
      <w:start w:val="1"/>
      <w:numFmt w:val="bullet"/>
      <w:lvlText w:val="•"/>
      <w:lvlJc w:val="left"/>
      <w:rPr>
        <w:color w:val="FFFFFF"/>
        <w:position w:val="0"/>
      </w:rPr>
    </w:lvl>
    <w:lvl w:ilvl="1">
      <w:start w:val="1"/>
      <w:numFmt w:val="bullet"/>
      <w:lvlText w:val="•"/>
      <w:lvlJc w:val="left"/>
      <w:rPr>
        <w:color w:val="FFFFFF"/>
        <w:position w:val="0"/>
      </w:rPr>
    </w:lvl>
    <w:lvl w:ilvl="2">
      <w:start w:val="1"/>
      <w:numFmt w:val="bullet"/>
      <w:lvlText w:val="•"/>
      <w:lvlJc w:val="left"/>
      <w:rPr>
        <w:color w:val="FFFFFF"/>
        <w:position w:val="0"/>
      </w:rPr>
    </w:lvl>
    <w:lvl w:ilvl="3">
      <w:start w:val="1"/>
      <w:numFmt w:val="bullet"/>
      <w:lvlText w:val="•"/>
      <w:lvlJc w:val="left"/>
      <w:rPr>
        <w:color w:val="FFFFFF"/>
        <w:position w:val="0"/>
      </w:rPr>
    </w:lvl>
    <w:lvl w:ilvl="4">
      <w:start w:val="1"/>
      <w:numFmt w:val="bullet"/>
      <w:lvlText w:val="•"/>
      <w:lvlJc w:val="left"/>
      <w:rPr>
        <w:color w:val="FFFFFF"/>
        <w:position w:val="0"/>
      </w:rPr>
    </w:lvl>
    <w:lvl w:ilvl="5">
      <w:start w:val="1"/>
      <w:numFmt w:val="bullet"/>
      <w:lvlText w:val="•"/>
      <w:lvlJc w:val="left"/>
      <w:rPr>
        <w:color w:val="FFFFFF"/>
        <w:position w:val="0"/>
      </w:rPr>
    </w:lvl>
    <w:lvl w:ilvl="6">
      <w:start w:val="1"/>
      <w:numFmt w:val="bullet"/>
      <w:lvlText w:val="•"/>
      <w:lvlJc w:val="left"/>
      <w:rPr>
        <w:color w:val="FFFFFF"/>
        <w:position w:val="0"/>
      </w:rPr>
    </w:lvl>
    <w:lvl w:ilvl="7">
      <w:start w:val="1"/>
      <w:numFmt w:val="bullet"/>
      <w:lvlText w:val="•"/>
      <w:lvlJc w:val="left"/>
      <w:rPr>
        <w:color w:val="FFFFFF"/>
        <w:position w:val="0"/>
      </w:rPr>
    </w:lvl>
    <w:lvl w:ilvl="8">
      <w:start w:val="1"/>
      <w:numFmt w:val="bullet"/>
      <w:lvlText w:val="•"/>
      <w:lvlJc w:val="left"/>
      <w:rPr>
        <w:color w:val="FFFFFF"/>
        <w:position w:val="0"/>
      </w:rPr>
    </w:lvl>
  </w:abstractNum>
  <w:num w:numId="1">
    <w:abstractNumId w:val="2"/>
  </w:num>
  <w:num w:numId="2">
    <w:abstractNumId w:val="3"/>
  </w:num>
  <w:num w:numId="3">
    <w:abstractNumId w:val="6"/>
  </w:num>
  <w:num w:numId="4">
    <w:abstractNumId w:val="1"/>
  </w:num>
  <w:num w:numId="5">
    <w:abstractNumId w:val="8"/>
  </w:num>
  <w:num w:numId="6">
    <w:abstractNumId w:val="0"/>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3A5CE8"/>
    <w:rsid w:val="001A1987"/>
    <w:rsid w:val="003A5CE8"/>
    <w:rsid w:val="004A734E"/>
    <w:rsid w:val="007038D7"/>
    <w:rsid w:val="00C86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eastAsia="Arial Unicode MS" w:hAnsi="Arial Unicode MS" w:cs="Arial Unicode MS"/>
      <w:color w:val="000000"/>
      <w:sz w:val="24"/>
      <w:szCs w:val="24"/>
    </w:rPr>
  </w:style>
  <w:style w:type="paragraph" w:customStyle="1" w:styleId="A5">
    <w:name w:val="正文 A"/>
    <w:pPr>
      <w:widowControl w:val="0"/>
      <w:jc w:val="both"/>
    </w:pPr>
    <w:rPr>
      <w:rFonts w:ascii="Cambria" w:eastAsia="Cambria" w:hAnsi="Cambria" w:cs="Cambria"/>
      <w:color w:val="000000"/>
      <w:kern w:val="2"/>
      <w:sz w:val="24"/>
      <w:szCs w:val="24"/>
      <w:u w:color="000000"/>
      <w:lang w:val="zh-TW" w:eastAsia="zh-TW"/>
    </w:rPr>
  </w:style>
  <w:style w:type="paragraph" w:customStyle="1" w:styleId="B">
    <w:name w:val="正文 B"/>
    <w:rPr>
      <w:rFonts w:ascii="Arial Unicode MS" w:eastAsia="Arial Unicode MS" w:hAnsi="Arial Unicode MS" w:cs="Arial Unicode MS" w:hint="eastAsia"/>
      <w:color w:val="000000"/>
      <w:sz w:val="24"/>
      <w:szCs w:val="24"/>
      <w:u w:color="000000"/>
      <w:lang w:val="zh-TW" w:eastAsia="zh-TW"/>
    </w:rPr>
  </w:style>
  <w:style w:type="paragraph" w:customStyle="1" w:styleId="AA">
    <w:name w:val="正文 A A"/>
    <w:rPr>
      <w:rFonts w:ascii="Arial Unicode MS" w:eastAsia="Arial Unicode MS" w:hAnsi="Arial Unicode MS" w:cs="Arial Unicode MS" w:hint="eastAsia"/>
      <w:color w:val="000000"/>
      <w:sz w:val="22"/>
      <w:szCs w:val="22"/>
      <w:u w:color="000000"/>
      <w:lang w:val="zh-TW" w:eastAsia="zh-TW"/>
    </w:rPr>
  </w:style>
  <w:style w:type="numbering" w:customStyle="1" w:styleId="List0">
    <w:name w:val="List 0"/>
    <w:basedOn w:val="1"/>
    <w:pPr>
      <w:numPr>
        <w:numId w:val="3"/>
      </w:numPr>
    </w:pPr>
  </w:style>
  <w:style w:type="numbering" w:customStyle="1" w:styleId="1">
    <w:name w:val="已导入的样式“1”"/>
  </w:style>
  <w:style w:type="numbering" w:customStyle="1" w:styleId="List1">
    <w:name w:val="List 1"/>
    <w:basedOn w:val="2"/>
    <w:pPr>
      <w:numPr>
        <w:numId w:val="6"/>
      </w:numPr>
    </w:pPr>
  </w:style>
  <w:style w:type="numbering" w:customStyle="1" w:styleId="2">
    <w:name w:val="已导入的样式“2”"/>
  </w:style>
  <w:style w:type="numbering" w:customStyle="1" w:styleId="21">
    <w:name w:val="列表 21"/>
    <w:basedOn w:val="3"/>
    <w:pPr>
      <w:numPr>
        <w:numId w:val="9"/>
      </w:numPr>
    </w:pPr>
  </w:style>
  <w:style w:type="numbering" w:customStyle="1" w:styleId="3">
    <w:name w:val="已导入的样式“3”"/>
  </w:style>
  <w:style w:type="character" w:customStyle="1" w:styleId="a6">
    <w:name w:val="无"/>
  </w:style>
  <w:style w:type="character" w:customStyle="1" w:styleId="Hyperlink0">
    <w:name w:val="Hyperlink.0"/>
    <w:basedOn w:val="a6"/>
    <w:rPr>
      <w:rFonts w:ascii="宋体" w:eastAsia="宋体" w:hAnsi="宋体" w:cs="宋体"/>
      <w:sz w:val="24"/>
      <w:szCs w:val="24"/>
      <w:lang w:val="zh-TW" w:eastAsia="zh-TW"/>
    </w:rPr>
  </w:style>
  <w:style w:type="paragraph" w:customStyle="1" w:styleId="a7">
    <w:name w:val="简介"/>
    <w:pPr>
      <w:widowControl w:val="0"/>
      <w:spacing w:line="180" w:lineRule="atLeast"/>
      <w:ind w:firstLine="312"/>
      <w:jc w:val="both"/>
    </w:pPr>
    <w:rPr>
      <w:rFonts w:ascii="黑体" w:eastAsia="黑体" w:hAnsi="黑体" w:cs="黑体"/>
      <w:color w:val="000000"/>
      <w:sz w:val="14"/>
      <w:szCs w:val="14"/>
      <w:u w:color="000000"/>
      <w:lang w:val="zh-TW" w:eastAsia="zh-TW"/>
    </w:rPr>
  </w:style>
  <w:style w:type="paragraph" w:styleId="a8">
    <w:name w:val="header"/>
    <w:basedOn w:val="a"/>
    <w:link w:val="Char"/>
    <w:uiPriority w:val="99"/>
    <w:unhideWhenUsed/>
    <w:rsid w:val="00C867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uiPriority w:val="99"/>
    <w:rsid w:val="00C867FB"/>
    <w:rPr>
      <w:sz w:val="18"/>
      <w:szCs w:val="18"/>
      <w:lang w:eastAsia="en-US"/>
    </w:rPr>
  </w:style>
  <w:style w:type="paragraph" w:styleId="a9">
    <w:name w:val="footer"/>
    <w:basedOn w:val="a"/>
    <w:link w:val="Char0"/>
    <w:uiPriority w:val="99"/>
    <w:unhideWhenUsed/>
    <w:rsid w:val="00C867FB"/>
    <w:pPr>
      <w:tabs>
        <w:tab w:val="center" w:pos="4153"/>
        <w:tab w:val="right" w:pos="8306"/>
      </w:tabs>
      <w:snapToGrid w:val="0"/>
    </w:pPr>
    <w:rPr>
      <w:sz w:val="18"/>
      <w:szCs w:val="18"/>
    </w:rPr>
  </w:style>
  <w:style w:type="character" w:customStyle="1" w:styleId="Char0">
    <w:name w:val="页脚 Char"/>
    <w:basedOn w:val="a0"/>
    <w:link w:val="a9"/>
    <w:uiPriority w:val="99"/>
    <w:rsid w:val="00C867FB"/>
    <w:rPr>
      <w:sz w:val="18"/>
      <w:szCs w:val="18"/>
      <w:lang w:eastAsia="en-US"/>
    </w:rPr>
  </w:style>
  <w:style w:type="paragraph" w:styleId="ab">
    <w:name w:val="Balloon Text"/>
    <w:basedOn w:val="a"/>
    <w:link w:val="Char1"/>
    <w:uiPriority w:val="99"/>
    <w:semiHidden/>
    <w:unhideWhenUsed/>
    <w:rsid w:val="00C867FB"/>
    <w:rPr>
      <w:sz w:val="18"/>
      <w:szCs w:val="18"/>
    </w:rPr>
  </w:style>
  <w:style w:type="character" w:customStyle="1" w:styleId="Char1">
    <w:name w:val="批注框文本 Char"/>
    <w:basedOn w:val="a0"/>
    <w:link w:val="ab"/>
    <w:uiPriority w:val="99"/>
    <w:semiHidden/>
    <w:rsid w:val="00C867FB"/>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eastAsia="Arial Unicode MS" w:hAnsi="Arial Unicode MS" w:cs="Arial Unicode MS"/>
      <w:color w:val="000000"/>
      <w:sz w:val="24"/>
      <w:szCs w:val="24"/>
    </w:rPr>
  </w:style>
  <w:style w:type="paragraph" w:customStyle="1" w:styleId="A5">
    <w:name w:val="正文 A"/>
    <w:pPr>
      <w:widowControl w:val="0"/>
      <w:jc w:val="both"/>
    </w:pPr>
    <w:rPr>
      <w:rFonts w:ascii="Cambria" w:eastAsia="Cambria" w:hAnsi="Cambria" w:cs="Cambria"/>
      <w:color w:val="000000"/>
      <w:kern w:val="2"/>
      <w:sz w:val="24"/>
      <w:szCs w:val="24"/>
      <w:u w:color="000000"/>
      <w:lang w:val="zh-TW" w:eastAsia="zh-TW"/>
    </w:rPr>
  </w:style>
  <w:style w:type="paragraph" w:customStyle="1" w:styleId="B">
    <w:name w:val="正文 B"/>
    <w:rPr>
      <w:rFonts w:ascii="Arial Unicode MS" w:eastAsia="Arial Unicode MS" w:hAnsi="Arial Unicode MS" w:cs="Arial Unicode MS" w:hint="eastAsia"/>
      <w:color w:val="000000"/>
      <w:sz w:val="24"/>
      <w:szCs w:val="24"/>
      <w:u w:color="000000"/>
      <w:lang w:val="zh-TW" w:eastAsia="zh-TW"/>
    </w:rPr>
  </w:style>
  <w:style w:type="paragraph" w:customStyle="1" w:styleId="AA">
    <w:name w:val="正文 A A"/>
    <w:rPr>
      <w:rFonts w:ascii="Arial Unicode MS" w:eastAsia="Arial Unicode MS" w:hAnsi="Arial Unicode MS" w:cs="Arial Unicode MS" w:hint="eastAsia"/>
      <w:color w:val="000000"/>
      <w:sz w:val="22"/>
      <w:szCs w:val="22"/>
      <w:u w:color="000000"/>
      <w:lang w:val="zh-TW" w:eastAsia="zh-TW"/>
    </w:rPr>
  </w:style>
  <w:style w:type="numbering" w:customStyle="1" w:styleId="List0">
    <w:name w:val="List 0"/>
    <w:basedOn w:val="1"/>
    <w:pPr>
      <w:numPr>
        <w:numId w:val="3"/>
      </w:numPr>
    </w:pPr>
  </w:style>
  <w:style w:type="numbering" w:customStyle="1" w:styleId="1">
    <w:name w:val="已导入的样式“1”"/>
  </w:style>
  <w:style w:type="numbering" w:customStyle="1" w:styleId="List1">
    <w:name w:val="List 1"/>
    <w:basedOn w:val="2"/>
    <w:pPr>
      <w:numPr>
        <w:numId w:val="6"/>
      </w:numPr>
    </w:pPr>
  </w:style>
  <w:style w:type="numbering" w:customStyle="1" w:styleId="2">
    <w:name w:val="已导入的样式“2”"/>
  </w:style>
  <w:style w:type="numbering" w:customStyle="1" w:styleId="21">
    <w:name w:val="列表 21"/>
    <w:basedOn w:val="3"/>
    <w:pPr>
      <w:numPr>
        <w:numId w:val="9"/>
      </w:numPr>
    </w:pPr>
  </w:style>
  <w:style w:type="numbering" w:customStyle="1" w:styleId="3">
    <w:name w:val="已导入的样式“3”"/>
  </w:style>
  <w:style w:type="character" w:customStyle="1" w:styleId="a6">
    <w:name w:val="无"/>
  </w:style>
  <w:style w:type="character" w:customStyle="1" w:styleId="Hyperlink0">
    <w:name w:val="Hyperlink.0"/>
    <w:basedOn w:val="a6"/>
    <w:rPr>
      <w:rFonts w:ascii="宋体" w:eastAsia="宋体" w:hAnsi="宋体" w:cs="宋体"/>
      <w:sz w:val="24"/>
      <w:szCs w:val="24"/>
      <w:lang w:val="zh-TW" w:eastAsia="zh-TW"/>
    </w:rPr>
  </w:style>
  <w:style w:type="paragraph" w:customStyle="1" w:styleId="a7">
    <w:name w:val="简介"/>
    <w:pPr>
      <w:widowControl w:val="0"/>
      <w:spacing w:line="180" w:lineRule="atLeast"/>
      <w:ind w:firstLine="312"/>
      <w:jc w:val="both"/>
    </w:pPr>
    <w:rPr>
      <w:rFonts w:ascii="黑体" w:eastAsia="黑体" w:hAnsi="黑体" w:cs="黑体"/>
      <w:color w:val="000000"/>
      <w:sz w:val="14"/>
      <w:szCs w:val="14"/>
      <w:u w:color="000000"/>
      <w:lang w:val="zh-TW" w:eastAsia="zh-TW"/>
    </w:rPr>
  </w:style>
  <w:style w:type="paragraph" w:styleId="a8">
    <w:name w:val="header"/>
    <w:basedOn w:val="a"/>
    <w:link w:val="Char"/>
    <w:uiPriority w:val="99"/>
    <w:unhideWhenUsed/>
    <w:rsid w:val="00C867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uiPriority w:val="99"/>
    <w:rsid w:val="00C867FB"/>
    <w:rPr>
      <w:sz w:val="18"/>
      <w:szCs w:val="18"/>
      <w:lang w:eastAsia="en-US"/>
    </w:rPr>
  </w:style>
  <w:style w:type="paragraph" w:styleId="a9">
    <w:name w:val="footer"/>
    <w:basedOn w:val="a"/>
    <w:link w:val="Char0"/>
    <w:uiPriority w:val="99"/>
    <w:unhideWhenUsed/>
    <w:rsid w:val="00C867FB"/>
    <w:pPr>
      <w:tabs>
        <w:tab w:val="center" w:pos="4153"/>
        <w:tab w:val="right" w:pos="8306"/>
      </w:tabs>
      <w:snapToGrid w:val="0"/>
    </w:pPr>
    <w:rPr>
      <w:sz w:val="18"/>
      <w:szCs w:val="18"/>
    </w:rPr>
  </w:style>
  <w:style w:type="character" w:customStyle="1" w:styleId="Char0">
    <w:name w:val="页脚 Char"/>
    <w:basedOn w:val="a0"/>
    <w:link w:val="a9"/>
    <w:uiPriority w:val="99"/>
    <w:rsid w:val="00C867FB"/>
    <w:rPr>
      <w:sz w:val="18"/>
      <w:szCs w:val="18"/>
      <w:lang w:eastAsia="en-US"/>
    </w:rPr>
  </w:style>
  <w:style w:type="paragraph" w:styleId="ab">
    <w:name w:val="Balloon Text"/>
    <w:basedOn w:val="a"/>
    <w:link w:val="Char1"/>
    <w:uiPriority w:val="99"/>
    <w:semiHidden/>
    <w:unhideWhenUsed/>
    <w:rsid w:val="00C867FB"/>
    <w:rPr>
      <w:sz w:val="18"/>
      <w:szCs w:val="18"/>
    </w:rPr>
  </w:style>
  <w:style w:type="character" w:customStyle="1" w:styleId="Char1">
    <w:name w:val="批注框文本 Char"/>
    <w:basedOn w:val="a0"/>
    <w:link w:val="ab"/>
    <w:uiPriority w:val="99"/>
    <w:semiHidden/>
    <w:rsid w:val="00C867FB"/>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baike.baidu.com/view/627138.htm" TargetMode="External"/><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aike.baidu.com/view/831164.ht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baike.baidu.com/view/530031.htm" TargetMode="External"/><Relationship Id="rId4" Type="http://schemas.openxmlformats.org/officeDocument/2006/relationships/settings" Target="settings.xml"/><Relationship Id="rId9" Type="http://schemas.openxmlformats.org/officeDocument/2006/relationships/hyperlink" Target="http://baike.baidu.com/view/443201.htm" TargetMode="External"/><Relationship Id="rId14"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2667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3778</Words>
  <Characters>21537</Characters>
  <Application>Microsoft Office Word</Application>
  <DocSecurity>0</DocSecurity>
  <Lines>179</Lines>
  <Paragraphs>50</Paragraphs>
  <ScaleCrop>false</ScaleCrop>
  <Company>Lenovo</Company>
  <LinksUpToDate>false</LinksUpToDate>
  <CharactersWithSpaces>25265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yutong</cp:lastModifiedBy>
  <cp:revision>3</cp:revision>
  <dcterms:created xsi:type="dcterms:W3CDTF">2017-06-23T02:47:00Z</dcterms:created>
  <dcterms:modified xsi:type="dcterms:W3CDTF">2017-06-23T06:28:00Z</dcterms:modified>
</cp:coreProperties>
</file>